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1DCF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17B3C" wp14:editId="0A418F08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AF877E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91D7DE3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2B734F8C" w14:textId="77777777" w:rsidR="00FA4C69" w:rsidRDefault="00FA4C69" w:rsidP="00FA4C69">
      <w:pPr>
        <w:rPr>
          <w:rFonts w:ascii="Arial" w:hAnsi="Arial"/>
        </w:rPr>
      </w:pPr>
    </w:p>
    <w:p w14:paraId="01BF7EC9" w14:textId="77777777" w:rsidR="00FA4C69" w:rsidRDefault="00FA4C69" w:rsidP="00FA4C69">
      <w:pPr>
        <w:jc w:val="both"/>
        <w:rPr>
          <w:rFonts w:ascii="Arial" w:hAnsi="Arial"/>
        </w:rPr>
      </w:pPr>
    </w:p>
    <w:p w14:paraId="2A6F9F17" w14:textId="77777777" w:rsidR="00FA4C69" w:rsidRDefault="00FA4C69" w:rsidP="00FA4C69">
      <w:pPr>
        <w:jc w:val="both"/>
        <w:rPr>
          <w:rFonts w:ascii="Arial" w:hAnsi="Arial"/>
        </w:rPr>
      </w:pPr>
    </w:p>
    <w:p w14:paraId="1737066F" w14:textId="77777777" w:rsidR="00FA4C69" w:rsidRPr="00431C82" w:rsidRDefault="00FA4C69" w:rsidP="00FA4C69"/>
    <w:p w14:paraId="34FE88F9" w14:textId="77777777" w:rsidR="00FA4C69" w:rsidRPr="00431C82" w:rsidRDefault="00FA4C69" w:rsidP="00FA4C69"/>
    <w:p w14:paraId="23D9783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8E5EC49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2C9F7086" w14:textId="1A110A01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60764C">
        <w:rPr>
          <w:rFonts w:ascii="Arial" w:hAnsi="Arial" w:cs="Arial"/>
          <w:sz w:val="22"/>
          <w:szCs w:val="22"/>
        </w:rPr>
        <w:t>2</w:t>
      </w:r>
      <w:r w:rsidR="00970A15">
        <w:rPr>
          <w:rFonts w:ascii="Arial" w:hAnsi="Arial" w:cs="Arial"/>
          <w:sz w:val="22"/>
          <w:szCs w:val="22"/>
        </w:rPr>
        <w:t>8</w:t>
      </w:r>
      <w:r w:rsidR="0060764C">
        <w:rPr>
          <w:rFonts w:ascii="Arial" w:hAnsi="Arial" w:cs="Arial"/>
          <w:sz w:val="22"/>
          <w:szCs w:val="22"/>
        </w:rPr>
        <w:t>.</w:t>
      </w:r>
      <w:r w:rsidR="00970A15">
        <w:rPr>
          <w:rFonts w:ascii="Arial" w:hAnsi="Arial" w:cs="Arial"/>
          <w:sz w:val="22"/>
          <w:szCs w:val="22"/>
        </w:rPr>
        <w:t>10</w:t>
      </w:r>
      <w:r w:rsidR="006076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2020</w:t>
      </w:r>
    </w:p>
    <w:p w14:paraId="7BAC8E55" w14:textId="49105F9A" w:rsidR="00FA4C69" w:rsidRDefault="00FA4C69" w:rsidP="00FA4C69">
      <w:pPr>
        <w:rPr>
          <w:rFonts w:ascii="Arial" w:hAnsi="Arial"/>
          <w:sz w:val="22"/>
        </w:rPr>
      </w:pPr>
    </w:p>
    <w:p w14:paraId="143063F9" w14:textId="77777777" w:rsidR="00136843" w:rsidRPr="00431C82" w:rsidRDefault="00136843" w:rsidP="00FA4C69">
      <w:pPr>
        <w:rPr>
          <w:rFonts w:ascii="Arial" w:hAnsi="Arial"/>
          <w:sz w:val="22"/>
        </w:rPr>
      </w:pPr>
    </w:p>
    <w:p w14:paraId="25DD41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436DC1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A5502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C00585B" w14:textId="77777777" w:rsidR="00FA4C69" w:rsidRPr="00431C82" w:rsidRDefault="00FA4C69" w:rsidP="00FA4C69">
      <w:pPr>
        <w:rPr>
          <w:rFonts w:ascii="Arial" w:hAnsi="Arial"/>
        </w:rPr>
      </w:pPr>
    </w:p>
    <w:p w14:paraId="144A8EC0" w14:textId="77777777" w:rsidR="00FA4C69" w:rsidRPr="00431C82" w:rsidRDefault="00FA4C69" w:rsidP="00FA4C69">
      <w:pPr>
        <w:rPr>
          <w:rFonts w:ascii="Arial" w:hAnsi="Arial"/>
        </w:rPr>
      </w:pPr>
    </w:p>
    <w:p w14:paraId="0B53209D" w14:textId="77777777" w:rsidR="00FA4C69" w:rsidRPr="00431C82" w:rsidRDefault="00FA4C69" w:rsidP="00FA4C69">
      <w:pPr>
        <w:rPr>
          <w:rFonts w:ascii="Arial" w:hAnsi="Arial"/>
        </w:rPr>
      </w:pPr>
    </w:p>
    <w:p w14:paraId="0F16D7BE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A886C7" w14:textId="449438FC" w:rsidR="00657028" w:rsidRPr="0001797D" w:rsidRDefault="00970A15" w:rsidP="006076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Návrh na prijatie návratnej finančnej výpomoci z MF SR</w:t>
      </w:r>
    </w:p>
    <w:p w14:paraId="404740A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88847F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F3EC8BE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6A8095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77A890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2E6824C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021410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6C96657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768078D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5CF66E15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4EA0EDE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5249426C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>- návrh uznesenia</w:t>
      </w:r>
    </w:p>
    <w:p w14:paraId="367DDB8E" w14:textId="67425876" w:rsidR="00657028" w:rsidRPr="00A61A95" w:rsidRDefault="00657028" w:rsidP="00A61A95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="00A61A95">
        <w:rPr>
          <w:rFonts w:ascii="Arial" w:hAnsi="Arial" w:cs="Arial"/>
          <w:sz w:val="22"/>
          <w:szCs w:val="22"/>
        </w:rPr>
        <w:tab/>
      </w:r>
      <w:r w:rsidR="00A61A95">
        <w:rPr>
          <w:rFonts w:ascii="Arial" w:hAnsi="Arial" w:cs="Arial"/>
          <w:sz w:val="22"/>
          <w:szCs w:val="22"/>
        </w:rPr>
        <w:tab/>
      </w:r>
      <w:r w:rsidR="00A61A95">
        <w:rPr>
          <w:rFonts w:ascii="Arial" w:hAnsi="Arial" w:cs="Arial"/>
          <w:sz w:val="22"/>
          <w:szCs w:val="22"/>
        </w:rPr>
        <w:tab/>
      </w:r>
      <w:r w:rsidR="00A61A95">
        <w:rPr>
          <w:rFonts w:ascii="Arial" w:hAnsi="Arial" w:cs="Arial"/>
          <w:sz w:val="22"/>
          <w:szCs w:val="22"/>
        </w:rPr>
        <w:tab/>
      </w:r>
      <w:r w:rsidR="00A61A95">
        <w:rPr>
          <w:rFonts w:ascii="Arial" w:hAnsi="Arial" w:cs="Arial"/>
          <w:sz w:val="22"/>
          <w:szCs w:val="22"/>
        </w:rPr>
        <w:tab/>
        <w:t>- príloha č. 1, p</w:t>
      </w:r>
      <w:r w:rsidR="00A61A95" w:rsidRPr="00A61A95">
        <w:rPr>
          <w:rFonts w:ascii="Arial" w:hAnsi="Arial" w:cs="Arial"/>
          <w:sz w:val="22"/>
          <w:szCs w:val="22"/>
        </w:rPr>
        <w:t>ríloha č. 2</w:t>
      </w:r>
      <w:r w:rsidRPr="00A61A95">
        <w:rPr>
          <w:rFonts w:ascii="Arial" w:hAnsi="Arial" w:cs="Arial"/>
          <w:sz w:val="22"/>
          <w:szCs w:val="22"/>
        </w:rPr>
        <w:tab/>
      </w:r>
      <w:r w:rsidRPr="00A61A95">
        <w:rPr>
          <w:rFonts w:ascii="Arial" w:hAnsi="Arial" w:cs="Arial"/>
          <w:sz w:val="22"/>
          <w:szCs w:val="22"/>
        </w:rPr>
        <w:tab/>
      </w:r>
      <w:r w:rsidRPr="00A61A95">
        <w:rPr>
          <w:rFonts w:ascii="Arial" w:hAnsi="Arial" w:cs="Arial"/>
          <w:sz w:val="22"/>
          <w:szCs w:val="22"/>
        </w:rPr>
        <w:tab/>
        <w:t xml:space="preserve">       </w:t>
      </w:r>
      <w:r w:rsidRPr="00A61A95">
        <w:rPr>
          <w:rFonts w:ascii="Arial" w:hAnsi="Arial" w:cs="Arial"/>
          <w:sz w:val="22"/>
          <w:szCs w:val="22"/>
        </w:rPr>
        <w:tab/>
      </w:r>
      <w:r w:rsidR="0025065D">
        <w:rPr>
          <w:rFonts w:ascii="Arial" w:hAnsi="Arial" w:cs="Arial"/>
          <w:sz w:val="22"/>
          <w:szCs w:val="22"/>
        </w:rPr>
        <w:t xml:space="preserve">                                   -</w:t>
      </w:r>
      <w:r w:rsidR="00E13B84">
        <w:rPr>
          <w:rFonts w:ascii="Arial" w:hAnsi="Arial" w:cs="Arial"/>
          <w:sz w:val="22"/>
          <w:szCs w:val="22"/>
        </w:rPr>
        <w:t xml:space="preserve"> </w:t>
      </w:r>
      <w:r w:rsidR="0025065D">
        <w:rPr>
          <w:rFonts w:ascii="Arial" w:hAnsi="Arial" w:cs="Arial"/>
          <w:sz w:val="22"/>
          <w:szCs w:val="22"/>
        </w:rPr>
        <w:t>stanovisko miestneho kontrolóra</w:t>
      </w:r>
    </w:p>
    <w:p w14:paraId="3609801E" w14:textId="1DE07AE5" w:rsidR="0060764C" w:rsidRPr="0001797D" w:rsidRDefault="0025065D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155C99A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C7F3E9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5890CCB1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46099817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791C728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361E25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D35A41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DE4B07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952A25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22BC18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23ABEF33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Zuzana Švarc Harisová</w:t>
      </w:r>
    </w:p>
    <w:p w14:paraId="16042FE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39AD6EA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D79F08D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</w:t>
      </w:r>
    </w:p>
    <w:p w14:paraId="71E0BA55" w14:textId="77777777" w:rsidR="0060764C" w:rsidRDefault="0060764C" w:rsidP="00657028">
      <w:pPr>
        <w:jc w:val="center"/>
        <w:rPr>
          <w:rFonts w:ascii="Arial" w:hAnsi="Arial" w:cs="Arial"/>
          <w:sz w:val="22"/>
          <w:szCs w:val="22"/>
        </w:rPr>
      </w:pPr>
    </w:p>
    <w:p w14:paraId="5A0E37CC" w14:textId="3C9240EF" w:rsidR="00657028" w:rsidRDefault="00970A15" w:rsidP="0065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októ</w:t>
      </w:r>
      <w:r w:rsidR="0060764C">
        <w:rPr>
          <w:rFonts w:ascii="Arial" w:hAnsi="Arial" w:cs="Arial"/>
          <w:sz w:val="22"/>
          <w:szCs w:val="22"/>
        </w:rPr>
        <w:t>ber</w:t>
      </w:r>
      <w:r w:rsidR="00657028">
        <w:rPr>
          <w:rFonts w:ascii="Arial" w:hAnsi="Arial" w:cs="Arial"/>
          <w:sz w:val="22"/>
          <w:szCs w:val="22"/>
        </w:rPr>
        <w:t xml:space="preserve"> 2020</w:t>
      </w:r>
    </w:p>
    <w:p w14:paraId="6E7F807F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136D5205" w14:textId="77777777" w:rsidR="00EC3BD4" w:rsidRDefault="00EC3BD4"/>
    <w:p w14:paraId="3CAA1785" w14:textId="08733877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645523C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149862B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CACFE67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3A8AD0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3901D54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660F84A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409E863" w14:textId="4B778768" w:rsidR="0060764C" w:rsidRDefault="00970A15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14:paraId="402A3AB6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7CAC747B" w14:textId="7EFD98A7" w:rsidR="001944CE" w:rsidRPr="00970A15" w:rsidRDefault="00970A15" w:rsidP="00970A15">
      <w:pPr>
        <w:ind w:right="-108"/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prijatie návratnej finančnej výpomoci v celkovej sume </w:t>
      </w:r>
      <w:r>
        <w:rPr>
          <w:rFonts w:ascii="Arial" w:hAnsi="Arial" w:cs="Arial"/>
          <w:color w:val="000000"/>
          <w:sz w:val="22"/>
          <w:szCs w:val="22"/>
        </w:rPr>
        <w:t>227 824</w:t>
      </w:r>
      <w:r w:rsidRPr="00970A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€</w:t>
      </w:r>
      <w:r w:rsidRPr="00970A15">
        <w:rPr>
          <w:rFonts w:ascii="Arial" w:hAnsi="Arial" w:cs="Arial"/>
          <w:color w:val="000000"/>
          <w:sz w:val="22"/>
          <w:szCs w:val="22"/>
        </w:rPr>
        <w:t xml:space="preserve"> na výkon samosprávnych pôsobností z dôvodu kompenzácie výpadku dane z príjmov fyzických osôb v roku 2020 v dôsledku pandémie ochorenia COVID-19</w:t>
      </w:r>
    </w:p>
    <w:p w14:paraId="123C199C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71E951C2" w14:textId="46209202" w:rsidR="001944CE" w:rsidRDefault="001944CE" w:rsidP="001944CE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14:paraId="27DEFA3A" w14:textId="77777777" w:rsidR="001944CE" w:rsidRDefault="001944CE" w:rsidP="001944CE">
      <w:pPr>
        <w:rPr>
          <w:sz w:val="20"/>
          <w:szCs w:val="20"/>
        </w:rPr>
      </w:pPr>
    </w:p>
    <w:p w14:paraId="7687B220" w14:textId="648A1E48" w:rsidR="001944CE" w:rsidRPr="001944CE" w:rsidRDefault="001944CE" w:rsidP="001944CE">
      <w:pPr>
        <w:rPr>
          <w:rFonts w:ascii="Arial" w:hAnsi="Arial" w:cs="Arial"/>
          <w:sz w:val="22"/>
          <w:szCs w:val="22"/>
        </w:rPr>
      </w:pPr>
      <w:r w:rsidRPr="001944CE">
        <w:rPr>
          <w:rFonts w:ascii="Arial" w:hAnsi="Arial" w:cs="Arial"/>
          <w:sz w:val="22"/>
          <w:szCs w:val="22"/>
        </w:rPr>
        <w:t xml:space="preserve">použitie prijatej návratnej finančnej výpomoci na financovanie  investičných akcií zaradených do rozpočtu </w:t>
      </w:r>
      <w:r>
        <w:rPr>
          <w:rFonts w:ascii="Arial" w:hAnsi="Arial" w:cs="Arial"/>
          <w:sz w:val="22"/>
          <w:szCs w:val="22"/>
        </w:rPr>
        <w:t>mestskej časti Bratislava – Podunajské Biskupice</w:t>
      </w:r>
      <w:r w:rsidRPr="001944CE">
        <w:rPr>
          <w:rFonts w:ascii="Arial" w:hAnsi="Arial" w:cs="Arial"/>
          <w:sz w:val="22"/>
          <w:szCs w:val="22"/>
        </w:rPr>
        <w:t xml:space="preserve"> na rok 2020: </w:t>
      </w:r>
    </w:p>
    <w:p w14:paraId="199220A0" w14:textId="77777777" w:rsidR="001944CE" w:rsidRDefault="001944CE" w:rsidP="001944CE">
      <w:pPr>
        <w:rPr>
          <w:rFonts w:ascii="Arial" w:hAnsi="Arial" w:cs="Arial"/>
          <w:sz w:val="22"/>
          <w:szCs w:val="22"/>
        </w:rPr>
      </w:pPr>
    </w:p>
    <w:p w14:paraId="73417899" w14:textId="6AB95C72" w:rsidR="001944CE" w:rsidRDefault="001944CE" w:rsidP="001944CE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944CE">
        <w:rPr>
          <w:rFonts w:ascii="Arial" w:hAnsi="Arial" w:cs="Arial"/>
          <w:sz w:val="22"/>
          <w:szCs w:val="22"/>
        </w:rPr>
        <w:t xml:space="preserve">Rekonštrukcia cesty Bodrocká </w:t>
      </w:r>
      <w:r>
        <w:rPr>
          <w:rFonts w:ascii="Arial" w:hAnsi="Arial" w:cs="Arial"/>
          <w:sz w:val="22"/>
          <w:szCs w:val="22"/>
        </w:rPr>
        <w:t xml:space="preserve">- </w:t>
      </w:r>
      <w:r w:rsidRPr="001944CE">
        <w:rPr>
          <w:rFonts w:ascii="Arial" w:hAnsi="Arial" w:cs="Arial"/>
          <w:sz w:val="22"/>
          <w:szCs w:val="22"/>
        </w:rPr>
        <w:t xml:space="preserve">Hronská </w:t>
      </w:r>
      <w:r>
        <w:rPr>
          <w:rFonts w:ascii="Arial" w:hAnsi="Arial" w:cs="Arial"/>
          <w:sz w:val="22"/>
          <w:szCs w:val="22"/>
        </w:rPr>
        <w:t xml:space="preserve">vo výške </w:t>
      </w:r>
      <w:r w:rsidRPr="001944CE">
        <w:rPr>
          <w:rFonts w:ascii="Arial" w:hAnsi="Arial" w:cs="Arial"/>
          <w:sz w:val="22"/>
          <w:szCs w:val="22"/>
        </w:rPr>
        <w:t>63 577,00</w:t>
      </w:r>
      <w:r>
        <w:rPr>
          <w:rFonts w:ascii="Arial" w:hAnsi="Arial" w:cs="Arial"/>
          <w:sz w:val="22"/>
          <w:szCs w:val="22"/>
        </w:rPr>
        <w:t xml:space="preserve"> </w:t>
      </w:r>
      <w:r w:rsidRPr="001944CE">
        <w:rPr>
          <w:rFonts w:ascii="Arial" w:hAnsi="Arial" w:cs="Arial"/>
          <w:sz w:val="22"/>
          <w:szCs w:val="22"/>
        </w:rPr>
        <w:t>€</w:t>
      </w:r>
    </w:p>
    <w:p w14:paraId="3BEC1365" w14:textId="27F1CA59" w:rsidR="001944CE" w:rsidRPr="001944CE" w:rsidRDefault="001944CE" w:rsidP="001944CE">
      <w:pPr>
        <w:pStyle w:val="Odsekzoznamu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Rekonštrukcia detských ihrísk vo výške 16</w:t>
      </w:r>
      <w:r w:rsidR="0025065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247,00 €</w:t>
      </w:r>
    </w:p>
    <w:p w14:paraId="5AE629FF" w14:textId="77777777" w:rsidR="001944CE" w:rsidRPr="001944CE" w:rsidRDefault="001944CE" w:rsidP="001944CE">
      <w:pPr>
        <w:rPr>
          <w:sz w:val="20"/>
          <w:szCs w:val="20"/>
        </w:rPr>
      </w:pPr>
    </w:p>
    <w:p w14:paraId="0548764C" w14:textId="6412350B" w:rsidR="00657028" w:rsidRPr="001944CE" w:rsidRDefault="00970A15" w:rsidP="001944CE">
      <w:pPr>
        <w:pStyle w:val="Odsekzoznamu"/>
        <w:numPr>
          <w:ilvl w:val="0"/>
          <w:numId w:val="15"/>
        </w:numPr>
        <w:jc w:val="center"/>
        <w:rPr>
          <w:rFonts w:ascii="Arial" w:hAnsi="Arial" w:cs="Arial"/>
          <w:b/>
          <w:sz w:val="22"/>
          <w:szCs w:val="22"/>
        </w:rPr>
      </w:pPr>
      <w:r w:rsidRPr="001944CE">
        <w:rPr>
          <w:rFonts w:ascii="Arial" w:hAnsi="Arial" w:cs="Arial"/>
          <w:b/>
          <w:sz w:val="22"/>
          <w:szCs w:val="22"/>
        </w:rPr>
        <w:t>poveruje</w:t>
      </w:r>
    </w:p>
    <w:p w14:paraId="47EEEAA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3AD90A4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3714F5F" w14:textId="3DE54F3A" w:rsidR="00657028" w:rsidRDefault="00970A15" w:rsidP="006076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starostu Mestskej časti</w:t>
      </w:r>
      <w:r w:rsidR="002616F8">
        <w:rPr>
          <w:rFonts w:ascii="Arial" w:hAnsi="Arial" w:cs="Arial"/>
          <w:sz w:val="22"/>
          <w:szCs w:val="22"/>
        </w:rPr>
        <w:t xml:space="preserve"> Bratislava – Podunajské Biskupice</w:t>
      </w:r>
      <w:r>
        <w:rPr>
          <w:rFonts w:ascii="Arial" w:hAnsi="Arial" w:cs="Arial"/>
          <w:sz w:val="22"/>
          <w:szCs w:val="22"/>
        </w:rPr>
        <w:t xml:space="preserve"> k podpisu Zmluvy o návratnej finančnej výpomoci medzi MF SR a Mestskou časťou Bratislava – Podunajské Biskupice</w:t>
      </w:r>
    </w:p>
    <w:p w14:paraId="211D32AC" w14:textId="782DB8B6" w:rsidR="007E160B" w:rsidRDefault="007E160B" w:rsidP="0060764C">
      <w:pPr>
        <w:jc w:val="both"/>
        <w:rPr>
          <w:rFonts w:ascii="Arial" w:hAnsi="Arial" w:cs="Arial"/>
          <w:sz w:val="22"/>
          <w:szCs w:val="22"/>
        </w:rPr>
      </w:pPr>
    </w:p>
    <w:p w14:paraId="0D142238" w14:textId="1EFA3CEC" w:rsidR="007E160B" w:rsidRPr="00A61A95" w:rsidRDefault="007E160B" w:rsidP="001944CE">
      <w:pPr>
        <w:pStyle w:val="Odsekzoznamu"/>
        <w:numPr>
          <w:ilvl w:val="0"/>
          <w:numId w:val="1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A61A95">
        <w:rPr>
          <w:rFonts w:ascii="Arial" w:hAnsi="Arial" w:cs="Arial"/>
          <w:b/>
          <w:bCs/>
          <w:sz w:val="22"/>
          <w:szCs w:val="22"/>
        </w:rPr>
        <w:t>berie na vedomie</w:t>
      </w:r>
    </w:p>
    <w:p w14:paraId="00FFEF7F" w14:textId="6C9537A2" w:rsidR="007E160B" w:rsidRDefault="007E160B" w:rsidP="007E160B">
      <w:pPr>
        <w:jc w:val="both"/>
        <w:rPr>
          <w:rFonts w:ascii="Arial" w:hAnsi="Arial" w:cs="Arial"/>
          <w:sz w:val="22"/>
          <w:szCs w:val="22"/>
        </w:rPr>
      </w:pPr>
    </w:p>
    <w:p w14:paraId="33843445" w14:textId="4BD36E34" w:rsidR="007E160B" w:rsidRPr="007E160B" w:rsidRDefault="007E160B" w:rsidP="007E16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hlavného kontrolóra Mestskej časti Bratislava – Podunajské Biskupice</w:t>
      </w:r>
      <w:r w:rsidR="00A61A95">
        <w:rPr>
          <w:rFonts w:ascii="Arial" w:hAnsi="Arial" w:cs="Arial"/>
          <w:sz w:val="22"/>
          <w:szCs w:val="22"/>
        </w:rPr>
        <w:t xml:space="preserve"> k návrh</w:t>
      </w:r>
      <w:r w:rsidR="001944CE">
        <w:rPr>
          <w:rFonts w:ascii="Arial" w:hAnsi="Arial" w:cs="Arial"/>
          <w:sz w:val="22"/>
          <w:szCs w:val="22"/>
        </w:rPr>
        <w:t>u</w:t>
      </w:r>
      <w:r w:rsidR="00A61A95">
        <w:rPr>
          <w:rFonts w:ascii="Arial" w:hAnsi="Arial" w:cs="Arial"/>
          <w:sz w:val="22"/>
          <w:szCs w:val="22"/>
        </w:rPr>
        <w:t xml:space="preserve"> na prijatie návratnej finančnej výpomoci od Ministerstva financií SR.</w:t>
      </w:r>
    </w:p>
    <w:p w14:paraId="4CFEAE6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17481EC" w14:textId="77777777" w:rsidR="00657028" w:rsidRPr="0001797D" w:rsidRDefault="00657028" w:rsidP="00657028">
      <w:pPr>
        <w:jc w:val="both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         </w:t>
      </w:r>
    </w:p>
    <w:p w14:paraId="36A6DA4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A115E3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7583E3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56D251" w14:textId="4267B18B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12FE8F" w14:textId="36BC7E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8482AB1" w14:textId="039ACD0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4B746D9" w14:textId="6625E878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54242D" w14:textId="51FCB1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2CD62F" w14:textId="6121B904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5C3B687" w14:textId="203E3E5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EEAA5FD" w14:textId="5AEEA397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006B90A" w14:textId="6CF57EA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10904EB" w14:textId="720E780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01F510D" w14:textId="3C7535A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798A1B5" w14:textId="35808C9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F9F90F2" w14:textId="47885DF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588D212" w14:textId="7CEFEF7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BC30D97" w14:textId="24ED0D7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52B074B" w14:textId="4EC3996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0E086AB" w14:textId="009B12D6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82E3E82" w14:textId="0120E5D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4A279FD" w14:textId="7E458B88" w:rsidR="00657028" w:rsidRDefault="001944CE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657028">
        <w:rPr>
          <w:rFonts w:ascii="Arial" w:hAnsi="Arial" w:cs="Arial"/>
          <w:b/>
          <w:bCs/>
          <w:sz w:val="22"/>
          <w:szCs w:val="22"/>
          <w:u w:val="single"/>
        </w:rPr>
        <w:t xml:space="preserve">ôvodová správa </w:t>
      </w:r>
    </w:p>
    <w:p w14:paraId="782EB6F3" w14:textId="0E9C40F7" w:rsidR="00657028" w:rsidRDefault="00657028" w:rsidP="006076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0E3E8C" w14:textId="77777777" w:rsidR="00970A15" w:rsidRPr="00970A15" w:rsidRDefault="00970A15" w:rsidP="00970A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V súvislosti s negatívnym vývojom hospodárenia obcí a vyšších územných celkov v roku 2020 ovplyvneným predovšetkým pandémiou ochorenia COVID-19 má vláda Slovenskej republiky záujem kompenzovať výpadok príjmov subjektom územnej samosprávy. Reagujúc na výrazný pokles výberu dane z príjmov fyzických osôb v nadväznosti na schválené uznesenie vlády Slovenskej republiky č. 494 z 12. augusta 2020 budú poskytované bezúročné návratné finančné výpomoci subjektom územnej samosprávy na výkon ich samosprávnych pôsobností.              </w:t>
      </w:r>
    </w:p>
    <w:p w14:paraId="4D8255E7" w14:textId="77777777" w:rsidR="00970A15" w:rsidRPr="00970A15" w:rsidRDefault="00970A15" w:rsidP="00970A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265EFB" w14:textId="77777777" w:rsidR="00970A15" w:rsidRPr="00970A15" w:rsidRDefault="00970A15" w:rsidP="00970A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>Návratná finančná výpomoc (ďalej len „NFV“) sa poskytne na základe žiadosti obce podľa nasledujúcich podmienok:</w:t>
      </w:r>
    </w:p>
    <w:p w14:paraId="0716716B" w14:textId="77777777" w:rsidR="00970A15" w:rsidRPr="00970A15" w:rsidRDefault="00970A15" w:rsidP="00970A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09CC20" w14:textId="70C3D44F" w:rsidR="00970A15" w:rsidRPr="00970A15" w:rsidRDefault="007E160B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Suma NFP sa poskytne </w:t>
      </w:r>
      <w:r w:rsidR="00970A15" w:rsidRPr="00970A15">
        <w:rPr>
          <w:rFonts w:ascii="Arial" w:hAnsi="Arial" w:cs="Arial"/>
          <w:color w:val="000000"/>
          <w:sz w:val="22"/>
          <w:szCs w:val="22"/>
        </w:rPr>
        <w:t>maximálne do výšky výpadku dane z príjmov fyzických osôb v roku 2020 podľa prognózy Ministerstva financií Slovenskej republiky z júna 2020. </w:t>
      </w:r>
    </w:p>
    <w:p w14:paraId="29E88838" w14:textId="21E72349" w:rsidR="00970A15" w:rsidRPr="00A61A95" w:rsidRDefault="00970A15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61A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Výpadok dane z príjmov fyzických osôb za rok 2020  pre Mestskú časť Bratislava – Podunajské Biskupice je vyčíslená vo výške</w:t>
      </w:r>
      <w:r w:rsidRPr="00A61A9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61A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227 824 €.</w:t>
      </w:r>
    </w:p>
    <w:p w14:paraId="3B417333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8BEA6B5" w14:textId="58ED3089" w:rsidR="00970A15" w:rsidRDefault="007E160B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Účel použitia</w:t>
      </w:r>
      <w:r>
        <w:rPr>
          <w:rFonts w:ascii="Arial" w:hAnsi="Arial" w:cs="Arial"/>
          <w:color w:val="000000"/>
          <w:sz w:val="22"/>
          <w:szCs w:val="22"/>
        </w:rPr>
        <w:t xml:space="preserve"> finančných prostriedkov je určený</w:t>
      </w:r>
      <w:r w:rsidR="00970A15" w:rsidRPr="00970A15">
        <w:rPr>
          <w:rFonts w:ascii="Arial" w:hAnsi="Arial" w:cs="Arial"/>
          <w:color w:val="000000"/>
          <w:sz w:val="22"/>
          <w:szCs w:val="22"/>
        </w:rPr>
        <w:t xml:space="preserve"> na výkon samosprávnych pôsobností z dôvodu kompenzácie výpadku dane z príjmov fyzických osôb v roku 2020 v dôsledku pandémie ochorenia COVID-19. Prijaté prostriedky z NFV možno použiť na kompenzáciu výdavkov vyčerpaných subjektom územnej samosprávy v priebehu roka 2020.</w:t>
      </w:r>
    </w:p>
    <w:p w14:paraId="1E6BDCC6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50E60D9" w14:textId="2B016C13" w:rsidR="00970A15" w:rsidRDefault="00970A15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predloženie žiadosti </w:t>
      </w: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 termíne do 31. októbra 2020</w:t>
      </w:r>
    </w:p>
    <w:p w14:paraId="709BEE10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6184F" w14:textId="1BE37906" w:rsidR="00970A15" w:rsidRDefault="00970A15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poskytnuté peňažné prostriedky možno použiť </w:t>
      </w: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 31. decembra 2020</w:t>
      </w:r>
      <w:r w:rsidRPr="00970A15">
        <w:rPr>
          <w:rFonts w:ascii="Arial" w:hAnsi="Arial" w:cs="Arial"/>
          <w:color w:val="000000"/>
          <w:sz w:val="22"/>
          <w:szCs w:val="22"/>
        </w:rPr>
        <w:t xml:space="preserve"> na základe zmluvy o</w:t>
      </w:r>
      <w:r w:rsidR="007E160B">
        <w:rPr>
          <w:rFonts w:ascii="Arial" w:hAnsi="Arial" w:cs="Arial"/>
          <w:color w:val="000000"/>
          <w:sz w:val="22"/>
          <w:szCs w:val="22"/>
        </w:rPr>
        <w:t> </w:t>
      </w:r>
      <w:r w:rsidRPr="00970A15">
        <w:rPr>
          <w:rFonts w:ascii="Arial" w:hAnsi="Arial" w:cs="Arial"/>
          <w:color w:val="000000"/>
          <w:sz w:val="22"/>
          <w:szCs w:val="22"/>
        </w:rPr>
        <w:t>NFV</w:t>
      </w:r>
    </w:p>
    <w:p w14:paraId="6CAB635B" w14:textId="77777777" w:rsidR="007E160B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0A10267" w14:textId="00A6AEA7" w:rsidR="007E160B" w:rsidRPr="007E160B" w:rsidRDefault="007E160B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NFP sa poskytne na základe uzatvorenej zmluvy o NFP medzi </w:t>
      </w:r>
      <w:r>
        <w:rPr>
          <w:rFonts w:ascii="Arial" w:hAnsi="Arial" w:cs="Arial"/>
          <w:color w:val="252525"/>
          <w:sz w:val="23"/>
          <w:szCs w:val="23"/>
        </w:rPr>
        <w:t xml:space="preserve">ministerstvom financií a subjektom územnej samosprávy na základe jeho žiadosti; návrh zmluvy o NFV je uvedený </w:t>
      </w:r>
      <w:r w:rsidRPr="007E160B">
        <w:rPr>
          <w:rFonts w:ascii="Arial" w:hAnsi="Arial" w:cs="Arial"/>
          <w:i/>
          <w:iCs/>
          <w:color w:val="252525"/>
          <w:sz w:val="23"/>
          <w:szCs w:val="23"/>
          <w:u w:val="single"/>
        </w:rPr>
        <w:t>v prílohe č. 2.</w:t>
      </w:r>
    </w:p>
    <w:p w14:paraId="1586FD7C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FF6060" w14:textId="6DA316F6" w:rsidR="00970A15" w:rsidRPr="007E160B" w:rsidRDefault="00970A15" w:rsidP="007E160B">
      <w:pPr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doba splácania počas štyroch rokov; </w:t>
      </w: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prvá splátka v roku 2024 a posledná splátka v roku 2027</w:t>
      </w:r>
    </w:p>
    <w:p w14:paraId="24B4D4AE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82DAF53" w14:textId="0666696D" w:rsidR="007E160B" w:rsidRDefault="007E160B" w:rsidP="007E160B">
      <w:pPr>
        <w:pStyle w:val="text-justify"/>
        <w:numPr>
          <w:ilvl w:val="0"/>
          <w:numId w:val="10"/>
        </w:numPr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Obec zodpovedá za to, že prijatím návratnej finančnej výpomoci nebudú prekročené limity dlhu a dlhovej služby dlžníka vyplývajúce z § 17 zákona č. 583/2004 Z. z. o rozpočtových pravidlách územnej samosprávy a o zmene a doplnení niektorých zákonov v znení neskorších predpisov, t. j. dlh dlžníka neprekročí 50 % skutočných bežných príjmov predchádzajúceho rozpočtového roka a suma splátok návratných zdrojov financovania, vrátane úhrady výnosov a suma splátok záväzkov z investičných dodávateľských úverov neprekročí v príslušnom rozpočtovom roku 25 % skutočných bežných príjmov predchádzajúceho rozpočtového roka znížených o prostriedky poskytnuté v príslušnom rozpočtovom roku dlžníkovi z rozpočtu iného subjektu verejnej správy, o prostriedky poskytnuté z Európskej únie a o iné prostriedky zo zahraničia alebo o prostriedky získané na základe osobitného predpisu.</w:t>
      </w:r>
    </w:p>
    <w:p w14:paraId="58866D24" w14:textId="601A328F" w:rsidR="00970A15" w:rsidRDefault="00970A15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NFV </w:t>
      </w: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nemožno</w:t>
      </w:r>
      <w:r w:rsidRPr="00970A15">
        <w:rPr>
          <w:rFonts w:ascii="Arial" w:hAnsi="Arial" w:cs="Arial"/>
          <w:color w:val="000000"/>
          <w:sz w:val="22"/>
          <w:szCs w:val="22"/>
        </w:rPr>
        <w:t xml:space="preserve"> použiť na úhradu záväzkov po lehote splatnosti</w:t>
      </w:r>
    </w:p>
    <w:p w14:paraId="68128AE3" w14:textId="77777777" w:rsidR="007E160B" w:rsidRPr="00970A15" w:rsidRDefault="007E160B" w:rsidP="007E160B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815F032" w14:textId="2A6718BB" w:rsidR="00970A15" w:rsidRDefault="00970A15" w:rsidP="007E160B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 xml:space="preserve">NFV </w:t>
      </w:r>
      <w:r w:rsidRPr="007E160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nemožno</w:t>
      </w:r>
      <w:r w:rsidRPr="00970A15">
        <w:rPr>
          <w:rFonts w:ascii="Arial" w:hAnsi="Arial" w:cs="Arial"/>
          <w:color w:val="000000"/>
          <w:sz w:val="22"/>
          <w:szCs w:val="22"/>
        </w:rPr>
        <w:t xml:space="preserve"> poskytnúť obci v ozdravnom režime alebo nútenej správe</w:t>
      </w:r>
    </w:p>
    <w:p w14:paraId="502C97D9" w14:textId="77777777" w:rsidR="007E160B" w:rsidRPr="00970A15" w:rsidRDefault="007E160B" w:rsidP="007E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93987F" w14:textId="2B32AE2A" w:rsidR="001944CE" w:rsidRDefault="00970A15" w:rsidP="001944CE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70A15">
        <w:rPr>
          <w:rFonts w:ascii="Arial" w:hAnsi="Arial" w:cs="Arial"/>
          <w:color w:val="000000"/>
          <w:sz w:val="22"/>
          <w:szCs w:val="22"/>
        </w:rPr>
        <w:t>odpustenie jednotlivých splátok návratnej finančnej výpomoci, ktoré je dlžník povinný splácať veriteľovi, je možné len na základe rozhodnutia vlády Slovenskej republiky podľa § 13 ods. 6 zákona č. 523/2004 Z. z. o rozpočtových pravidlách verejnej správy a o zmene a doplnení niektorých zákonov v znení neskorších predpisov</w:t>
      </w:r>
      <w:r w:rsidR="001944CE">
        <w:rPr>
          <w:rFonts w:ascii="Arial" w:hAnsi="Arial" w:cs="Arial"/>
          <w:color w:val="000000"/>
          <w:sz w:val="22"/>
          <w:szCs w:val="22"/>
        </w:rPr>
        <w:t>.</w:t>
      </w:r>
    </w:p>
    <w:p w14:paraId="5250563A" w14:textId="3EF3A59C" w:rsidR="001944CE" w:rsidRDefault="001944CE" w:rsidP="001944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F0E20" w14:textId="22177546" w:rsidR="001944CE" w:rsidRPr="001944CE" w:rsidRDefault="001944CE" w:rsidP="001944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schválenia </w:t>
      </w:r>
      <w:r w:rsidRPr="001944CE">
        <w:rPr>
          <w:rFonts w:ascii="Arial" w:hAnsi="Arial" w:cs="Arial"/>
          <w:sz w:val="22"/>
          <w:szCs w:val="22"/>
        </w:rPr>
        <w:t>prijat</w:t>
      </w:r>
      <w:r>
        <w:rPr>
          <w:rFonts w:ascii="Arial" w:hAnsi="Arial" w:cs="Arial"/>
          <w:sz w:val="22"/>
          <w:szCs w:val="22"/>
        </w:rPr>
        <w:t>ia</w:t>
      </w:r>
      <w:r w:rsidRPr="001944CE">
        <w:rPr>
          <w:rFonts w:ascii="Arial" w:hAnsi="Arial" w:cs="Arial"/>
          <w:sz w:val="22"/>
          <w:szCs w:val="22"/>
        </w:rPr>
        <w:t xml:space="preserve"> návratnej finančnej výpomoci </w:t>
      </w:r>
      <w:r>
        <w:rPr>
          <w:rFonts w:ascii="Arial" w:hAnsi="Arial" w:cs="Arial"/>
          <w:sz w:val="22"/>
          <w:szCs w:val="22"/>
        </w:rPr>
        <w:t xml:space="preserve">miestnym zastupiteľstvom navrhujeme </w:t>
      </w:r>
      <w:r w:rsidRPr="001944CE">
        <w:rPr>
          <w:rFonts w:ascii="Arial" w:hAnsi="Arial" w:cs="Arial"/>
          <w:sz w:val="22"/>
          <w:szCs w:val="22"/>
        </w:rPr>
        <w:t xml:space="preserve">použitie prijatej návratnej finančnej výpomoci na financovanie  investičných akcií zaradených do rozpočtu </w:t>
      </w:r>
      <w:r>
        <w:rPr>
          <w:rFonts w:ascii="Arial" w:hAnsi="Arial" w:cs="Arial"/>
          <w:sz w:val="22"/>
          <w:szCs w:val="22"/>
        </w:rPr>
        <w:t>mestskej časti Bratislava – Podunajské Biskupice</w:t>
      </w:r>
      <w:r w:rsidRPr="001944CE">
        <w:rPr>
          <w:rFonts w:ascii="Arial" w:hAnsi="Arial" w:cs="Arial"/>
          <w:sz w:val="22"/>
          <w:szCs w:val="22"/>
        </w:rPr>
        <w:t xml:space="preserve"> na rok 2020: </w:t>
      </w:r>
    </w:p>
    <w:p w14:paraId="76ADAA3A" w14:textId="77777777" w:rsidR="001944CE" w:rsidRDefault="001944CE" w:rsidP="001944CE">
      <w:pPr>
        <w:jc w:val="both"/>
        <w:rPr>
          <w:rFonts w:ascii="Arial" w:hAnsi="Arial" w:cs="Arial"/>
          <w:sz w:val="22"/>
          <w:szCs w:val="22"/>
        </w:rPr>
      </w:pPr>
    </w:p>
    <w:p w14:paraId="7F6873A5" w14:textId="13E45990" w:rsidR="001944CE" w:rsidRDefault="001944CE" w:rsidP="001944C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944CE">
        <w:rPr>
          <w:rFonts w:ascii="Arial" w:hAnsi="Arial" w:cs="Arial"/>
          <w:sz w:val="22"/>
          <w:szCs w:val="22"/>
        </w:rPr>
        <w:t xml:space="preserve">Rekonštrukcia cesty Bodrocká Hronská </w:t>
      </w:r>
      <w:r>
        <w:rPr>
          <w:rFonts w:ascii="Arial" w:hAnsi="Arial" w:cs="Arial"/>
          <w:sz w:val="22"/>
          <w:szCs w:val="22"/>
        </w:rPr>
        <w:t xml:space="preserve">vo výške </w:t>
      </w:r>
      <w:r w:rsidRPr="001944CE">
        <w:rPr>
          <w:rFonts w:ascii="Arial" w:hAnsi="Arial" w:cs="Arial"/>
          <w:sz w:val="22"/>
          <w:szCs w:val="22"/>
        </w:rPr>
        <w:t>63 577,00</w:t>
      </w:r>
      <w:r>
        <w:rPr>
          <w:rFonts w:ascii="Arial" w:hAnsi="Arial" w:cs="Arial"/>
          <w:sz w:val="22"/>
          <w:szCs w:val="22"/>
        </w:rPr>
        <w:t xml:space="preserve"> </w:t>
      </w:r>
      <w:r w:rsidRPr="001944CE">
        <w:rPr>
          <w:rFonts w:ascii="Arial" w:hAnsi="Arial" w:cs="Arial"/>
          <w:sz w:val="22"/>
          <w:szCs w:val="22"/>
        </w:rPr>
        <w:t>€</w:t>
      </w:r>
    </w:p>
    <w:p w14:paraId="65297574" w14:textId="6A85811B" w:rsidR="001944CE" w:rsidRPr="001944CE" w:rsidRDefault="001944CE" w:rsidP="001944C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Rekonštrukcia detských ihrísk vo výške 16</w:t>
      </w:r>
      <w:r w:rsidR="0025065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247,00 €.</w:t>
      </w:r>
    </w:p>
    <w:p w14:paraId="028BCE5E" w14:textId="77777777" w:rsidR="001944CE" w:rsidRPr="001944CE" w:rsidRDefault="001944CE" w:rsidP="001944CE">
      <w:pPr>
        <w:rPr>
          <w:sz w:val="20"/>
          <w:szCs w:val="20"/>
        </w:rPr>
      </w:pPr>
    </w:p>
    <w:p w14:paraId="24252DE9" w14:textId="77777777" w:rsidR="001944CE" w:rsidRPr="001944CE" w:rsidRDefault="001944CE" w:rsidP="001944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D697F6" w14:textId="77777777" w:rsidR="00970A15" w:rsidRPr="00970A15" w:rsidRDefault="00970A15" w:rsidP="007E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908CE3" w14:textId="77777777" w:rsidR="00970A15" w:rsidRPr="0048362F" w:rsidRDefault="00970A15" w:rsidP="00970A15">
      <w:pPr>
        <w:jc w:val="both"/>
        <w:rPr>
          <w:rFonts w:ascii="TimesNewRomanPSMT" w:hAnsi="TimesNewRomanPSMT" w:cs="TimesNewRomanPSMT"/>
          <w:color w:val="000000"/>
        </w:rPr>
      </w:pPr>
    </w:p>
    <w:p w14:paraId="1B75031F" w14:textId="75110908" w:rsidR="0060764C" w:rsidRDefault="0060764C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946E5F" w14:textId="3E5AECBB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138A0F1" w14:textId="348323AE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FC93CB" w14:textId="65BE9475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5231CE" w14:textId="7B4D9BDA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60E93D" w14:textId="7FE0AA7D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F97BD0" w14:textId="460FC4E3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60108A3" w14:textId="50B53CB1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3E62638" w14:textId="3F551CF8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F451BC7" w14:textId="59477849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DE5DF1" w14:textId="5EC69CB9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4774B90" w14:textId="6F9A8B6E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6E3FD0A" w14:textId="436F28B2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791A1F" w14:textId="32EBC87E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774A37" w14:textId="6D66DB8C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017336" w14:textId="38ADA114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8095A86" w14:textId="19E2B3DA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1A7EB3" w14:textId="787B5DF5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D08467" w14:textId="6D743BC2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F25613D" w14:textId="78101A07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CC37994" w14:textId="121BE023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2724920" w14:textId="056C2320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8C3594" w14:textId="3DF03606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355540E" w14:textId="3B8668B0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E6B0C58" w14:textId="5BC54EBA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B6A2FB4" w14:textId="73B4E913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5E7230" w14:textId="084F980C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88BA88" w14:textId="4868D9C2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76C61C" w14:textId="5C9B09D2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2D49BA0" w14:textId="716316E6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172643A" w14:textId="1C7BC37D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30751A6" w14:textId="5AD43E55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B683020" w14:textId="070B0F06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4C1306" w14:textId="5782AFB6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B9BAD7C" w14:textId="2E5B5C1E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1E9BE39" w14:textId="7F334394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B491C8" w14:textId="664990BA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421F24" w14:textId="16B16D51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FBB699C" w14:textId="43CF4D74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DB356F" w14:textId="2E9D9215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519F05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6A4E54B6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5A14B869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67F37C5E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02F71564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5BFC5EBD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5B95729" wp14:editId="72519D7A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6874" w14:textId="77777777" w:rsidR="000405AE" w:rsidRDefault="000405AE" w:rsidP="000405AE">
      <w:pPr>
        <w:pStyle w:val="Style9"/>
        <w:spacing w:line="264" w:lineRule="auto"/>
        <w:jc w:val="center"/>
        <w:rPr>
          <w:b/>
          <w:bCs/>
          <w:color w:val="5B9BD5" w:themeColor="accent1"/>
          <w:sz w:val="28"/>
          <w:szCs w:val="28"/>
        </w:rPr>
      </w:pPr>
    </w:p>
    <w:p w14:paraId="45731B48" w14:textId="77777777" w:rsidR="000405AE" w:rsidRPr="003F2A1D" w:rsidRDefault="000405AE" w:rsidP="000405AE">
      <w:pPr>
        <w:jc w:val="center"/>
        <w:rPr>
          <w:b/>
          <w:bCs/>
          <w:color w:val="5B9BD5" w:themeColor="accent1"/>
          <w:sz w:val="28"/>
          <w:szCs w:val="28"/>
        </w:rPr>
      </w:pPr>
      <w:bookmarkStart w:id="1" w:name="_Hlk29999045"/>
      <w:r w:rsidRPr="007F454F">
        <w:rPr>
          <w:b/>
          <w:bCs/>
          <w:color w:val="5B9BD5" w:themeColor="accent1"/>
          <w:sz w:val="28"/>
          <w:szCs w:val="28"/>
        </w:rPr>
        <w:t xml:space="preserve">STANOVISKO MIESTNEHO KONTROLÓRA K </w:t>
      </w:r>
      <w:r w:rsidRPr="003F2A1D">
        <w:rPr>
          <w:b/>
          <w:bCs/>
          <w:color w:val="5B9BD5" w:themeColor="accent1"/>
          <w:sz w:val="28"/>
          <w:szCs w:val="28"/>
        </w:rPr>
        <w:t> DODRŽANIU PODMIENOK PRE PRIJATIE</w:t>
      </w:r>
      <w:r>
        <w:rPr>
          <w:b/>
          <w:bCs/>
          <w:color w:val="5B9BD5" w:themeColor="accent1"/>
          <w:sz w:val="28"/>
          <w:szCs w:val="28"/>
        </w:rPr>
        <w:t xml:space="preserve"> </w:t>
      </w:r>
      <w:r w:rsidRPr="003F2A1D">
        <w:rPr>
          <w:b/>
          <w:bCs/>
          <w:color w:val="5B9BD5" w:themeColor="accent1"/>
          <w:sz w:val="28"/>
          <w:szCs w:val="28"/>
        </w:rPr>
        <w:t>NÁVRAT</w:t>
      </w:r>
      <w:r>
        <w:rPr>
          <w:b/>
          <w:bCs/>
          <w:color w:val="5B9BD5" w:themeColor="accent1"/>
          <w:sz w:val="28"/>
          <w:szCs w:val="28"/>
        </w:rPr>
        <w:t>NÝCH ZDROJOV FINANCOVANIA</w:t>
      </w:r>
      <w:r w:rsidRPr="003F2A1D">
        <w:rPr>
          <w:b/>
          <w:bCs/>
          <w:color w:val="5B9BD5" w:themeColor="accent1"/>
          <w:sz w:val="28"/>
          <w:szCs w:val="28"/>
        </w:rPr>
        <w:t xml:space="preserve"> VO VÝŠKE </w:t>
      </w:r>
      <w:r>
        <w:rPr>
          <w:b/>
          <w:bCs/>
          <w:color w:val="5B9BD5" w:themeColor="accent1"/>
          <w:sz w:val="28"/>
          <w:szCs w:val="28"/>
        </w:rPr>
        <w:t>227 824</w:t>
      </w:r>
      <w:r w:rsidRPr="003F2A1D">
        <w:rPr>
          <w:b/>
          <w:bCs/>
          <w:color w:val="5B9BD5" w:themeColor="accent1"/>
          <w:sz w:val="28"/>
          <w:szCs w:val="28"/>
        </w:rPr>
        <w:t xml:space="preserve"> € NA KOMPENZÁCIU VÝPADKU DANE Z PRÍJMOV FYZICKÝCH OSÔB V ROKU 2020</w:t>
      </w:r>
      <w:r>
        <w:rPr>
          <w:b/>
          <w:bCs/>
          <w:color w:val="5B9BD5" w:themeColor="accent1"/>
          <w:sz w:val="28"/>
          <w:szCs w:val="28"/>
        </w:rPr>
        <w:t xml:space="preserve"> K 30.09.2020</w:t>
      </w:r>
    </w:p>
    <w:p w14:paraId="6BEA7DC8" w14:textId="77777777" w:rsidR="000405AE" w:rsidRPr="007F454F" w:rsidRDefault="000405AE" w:rsidP="000405AE">
      <w:pPr>
        <w:pStyle w:val="Style9"/>
        <w:spacing w:line="264" w:lineRule="auto"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</w:rPr>
      </w:pPr>
    </w:p>
    <w:bookmarkEnd w:id="1"/>
    <w:p w14:paraId="1DE85FB0" w14:textId="77777777" w:rsidR="000405AE" w:rsidRDefault="000405AE" w:rsidP="000405AE">
      <w:pPr>
        <w:jc w:val="center"/>
        <w:rPr>
          <w:color w:val="000000"/>
        </w:rPr>
      </w:pPr>
      <w:r>
        <w:rPr>
          <w:color w:val="000000"/>
        </w:rPr>
        <w:br w:type="page"/>
      </w:r>
    </w:p>
    <w:p w14:paraId="76ABAA7E" w14:textId="77777777" w:rsidR="000405AE" w:rsidRPr="003F2A1D" w:rsidRDefault="000405AE" w:rsidP="000405AE">
      <w:pPr>
        <w:jc w:val="both"/>
        <w:rPr>
          <w:b/>
          <w:bCs/>
          <w:color w:val="5B9BD5" w:themeColor="accent1"/>
          <w:sz w:val="28"/>
          <w:szCs w:val="28"/>
        </w:rPr>
      </w:pPr>
      <w:r w:rsidRPr="007F454F">
        <w:rPr>
          <w:b/>
          <w:bCs/>
          <w:color w:val="5B9BD5" w:themeColor="accent1"/>
          <w:sz w:val="28"/>
          <w:szCs w:val="28"/>
        </w:rPr>
        <w:lastRenderedPageBreak/>
        <w:t xml:space="preserve">STANOVISKO MIESTNEHO KONTROLÓRA K </w:t>
      </w:r>
      <w:r w:rsidRPr="003F2A1D">
        <w:rPr>
          <w:b/>
          <w:bCs/>
          <w:color w:val="5B9BD5" w:themeColor="accent1"/>
          <w:sz w:val="28"/>
          <w:szCs w:val="28"/>
        </w:rPr>
        <w:t> DODRŽANIU PODMIENOK PRE PRIJATIE</w:t>
      </w:r>
      <w:r>
        <w:rPr>
          <w:b/>
          <w:bCs/>
          <w:color w:val="5B9BD5" w:themeColor="accent1"/>
          <w:sz w:val="28"/>
          <w:szCs w:val="28"/>
        </w:rPr>
        <w:t xml:space="preserve"> </w:t>
      </w:r>
      <w:r w:rsidRPr="003F2A1D">
        <w:rPr>
          <w:b/>
          <w:bCs/>
          <w:color w:val="5B9BD5" w:themeColor="accent1"/>
          <w:sz w:val="28"/>
          <w:szCs w:val="28"/>
        </w:rPr>
        <w:t>NÁVRAT</w:t>
      </w:r>
      <w:r>
        <w:rPr>
          <w:b/>
          <w:bCs/>
          <w:color w:val="5B9BD5" w:themeColor="accent1"/>
          <w:sz w:val="28"/>
          <w:szCs w:val="28"/>
        </w:rPr>
        <w:t>NÝCH ZDROJOV FINANCOVANIA</w:t>
      </w:r>
      <w:r w:rsidRPr="003F2A1D">
        <w:rPr>
          <w:b/>
          <w:bCs/>
          <w:color w:val="5B9BD5" w:themeColor="accent1"/>
          <w:sz w:val="28"/>
          <w:szCs w:val="28"/>
        </w:rPr>
        <w:t xml:space="preserve"> VO VÝŠKE </w:t>
      </w:r>
      <w:r>
        <w:rPr>
          <w:b/>
          <w:bCs/>
          <w:color w:val="5B9BD5" w:themeColor="accent1"/>
          <w:sz w:val="28"/>
          <w:szCs w:val="28"/>
        </w:rPr>
        <w:t>227 824</w:t>
      </w:r>
      <w:r w:rsidRPr="003F2A1D">
        <w:rPr>
          <w:b/>
          <w:bCs/>
          <w:color w:val="5B9BD5" w:themeColor="accent1"/>
          <w:sz w:val="28"/>
          <w:szCs w:val="28"/>
        </w:rPr>
        <w:t xml:space="preserve"> € NA KOMPENZÁCIU VÝPADKU DANE Z PRÍJMOV FYZICKÝCH OSÔB V ROKU 2020</w:t>
      </w:r>
      <w:r>
        <w:rPr>
          <w:b/>
          <w:bCs/>
          <w:color w:val="5B9BD5" w:themeColor="accent1"/>
          <w:sz w:val="28"/>
          <w:szCs w:val="28"/>
        </w:rPr>
        <w:t xml:space="preserve"> K 30.09.2020</w:t>
      </w:r>
    </w:p>
    <w:p w14:paraId="32B88F85" w14:textId="77777777" w:rsidR="000405AE" w:rsidRDefault="000405AE" w:rsidP="000405AE">
      <w:pPr>
        <w:rPr>
          <w:b/>
          <w:bCs/>
          <w:color w:val="5B9BD5" w:themeColor="accent1"/>
          <w:sz w:val="28"/>
          <w:szCs w:val="28"/>
        </w:rPr>
      </w:pPr>
    </w:p>
    <w:p w14:paraId="6D66C2F2" w14:textId="77777777" w:rsidR="000405AE" w:rsidRDefault="000405AE" w:rsidP="000405AE">
      <w:pPr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Právny základ: </w:t>
      </w:r>
    </w:p>
    <w:p w14:paraId="1A51B1C1" w14:textId="77777777" w:rsidR="000405AE" w:rsidRPr="00F62CED" w:rsidRDefault="000405AE" w:rsidP="000405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2CED">
        <w:rPr>
          <w:rFonts w:asciiTheme="minorHAnsi" w:hAnsiTheme="minorHAnsi" w:cstheme="minorHAnsi"/>
          <w:b/>
          <w:bCs/>
          <w:sz w:val="22"/>
          <w:szCs w:val="22"/>
          <w:u w:val="single"/>
        </w:rPr>
        <w:t>Bezúročná návratná finančná výpomoc určená na krytie výdavkov samosprávnych funkcií</w:t>
      </w:r>
      <w:r w:rsidRPr="00F62CED">
        <w:rPr>
          <w:rFonts w:asciiTheme="minorHAnsi" w:hAnsiTheme="minorHAnsi" w:cstheme="minorHAnsi"/>
          <w:sz w:val="22"/>
          <w:szCs w:val="22"/>
        </w:rPr>
        <w:t xml:space="preserve"> sa poskytne na základe žiadosti obce alebo vyššieho územného celku maximálne do výšky výpadku dane z príjmov fyzických osôb za rok 2020 </w:t>
      </w:r>
      <w:r w:rsidRPr="00F62CED">
        <w:rPr>
          <w:rFonts w:asciiTheme="minorHAnsi" w:hAnsiTheme="minorHAnsi" w:cstheme="minorHAnsi"/>
          <w:b/>
          <w:bCs/>
          <w:sz w:val="22"/>
          <w:szCs w:val="22"/>
          <w:u w:val="single"/>
        </w:rPr>
        <w:t>so štvorročnou splatnosťou v rovnomerných ročných splátkach, pričom prvá splátka bude uhradená v roku 2024</w:t>
      </w:r>
      <w:r w:rsidRPr="00F62CE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2CED">
        <w:rPr>
          <w:rFonts w:asciiTheme="minorHAnsi" w:hAnsiTheme="minorHAnsi" w:cstheme="minorHAnsi"/>
          <w:sz w:val="22"/>
          <w:szCs w:val="22"/>
        </w:rPr>
        <w:t xml:space="preserve">Posledná splátka bude poukázaná v roku 2027. </w:t>
      </w:r>
    </w:p>
    <w:p w14:paraId="4B1D0C0F" w14:textId="77777777" w:rsidR="000405AE" w:rsidRPr="00F62CED" w:rsidRDefault="000405AE" w:rsidP="000405A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647836" w14:textId="77777777" w:rsidR="000405AE" w:rsidRPr="00F62CED" w:rsidRDefault="000405AE" w:rsidP="000405AE">
      <w:pPr>
        <w:jc w:val="both"/>
        <w:rPr>
          <w:rFonts w:cstheme="minorHAnsi"/>
        </w:rPr>
      </w:pPr>
      <w:r w:rsidRPr="00F62CED">
        <w:rPr>
          <w:rFonts w:cstheme="minorHAnsi"/>
        </w:rPr>
        <w:t xml:space="preserve">O návratné finančné výpomoci </w:t>
      </w:r>
      <w:r w:rsidRPr="00F62CED">
        <w:rPr>
          <w:rFonts w:cstheme="minorHAnsi"/>
          <w:u w:val="single"/>
        </w:rPr>
        <w:t xml:space="preserve">môžu požiadať všetky obce a vyššie územné celky, v ktorých o </w:t>
      </w:r>
      <w:r w:rsidRPr="00F62CED">
        <w:rPr>
          <w:rFonts w:cstheme="minorHAnsi"/>
          <w:b/>
          <w:bCs/>
          <w:u w:val="single"/>
        </w:rPr>
        <w:t>schválení návratnej finančnej výpomoci rozhodlo ich zastupiteľstvo</w:t>
      </w:r>
      <w:r w:rsidRPr="009562BE">
        <w:rPr>
          <w:rFonts w:cstheme="minorHAnsi"/>
        </w:rPr>
        <w:t>, s výnimkou tých, ktoré sú v ozdravnom režime</w:t>
      </w:r>
      <w:r w:rsidRPr="00F62CED">
        <w:rPr>
          <w:rFonts w:cstheme="minorHAnsi"/>
        </w:rPr>
        <w:t xml:space="preserve"> alebo v nútenej správe a nespĺňajú podmienku dodržania limitu dlhu a dlhovej služby.</w:t>
      </w:r>
    </w:p>
    <w:p w14:paraId="0D648484" w14:textId="77777777" w:rsidR="000405AE" w:rsidRPr="009562BE" w:rsidRDefault="000405AE" w:rsidP="000405AE">
      <w:pPr>
        <w:shd w:val="clear" w:color="auto" w:fill="FFFFFF"/>
        <w:spacing w:after="120"/>
        <w:jc w:val="both"/>
        <w:rPr>
          <w:rFonts w:cstheme="minorHAnsi"/>
          <w:b/>
          <w:bCs/>
          <w:u w:val="single"/>
        </w:rPr>
      </w:pPr>
      <w:r w:rsidRPr="00F62CED">
        <w:rPr>
          <w:rFonts w:cstheme="minorHAnsi"/>
        </w:rPr>
        <w:t>Mestská časť vstupom do záväzkov vyplývajúcich z návratných zdrojov financovania a z investičných dodávateľských úverov nesmie narušiť princíp vyrovnanosti bežného rozpočtu v nasledujúcich rozpočtových rokoch. V praxi to znamená, že mestská časť si musí zvážiť podmienky za akých ide prijímať návratné zdroje financovania, zmluvné podmienky záväzku, aby mal</w:t>
      </w:r>
      <w:r>
        <w:rPr>
          <w:rFonts w:cstheme="minorHAnsi"/>
        </w:rPr>
        <w:t>a</w:t>
      </w:r>
      <w:r w:rsidRPr="00F62CED">
        <w:rPr>
          <w:rFonts w:cstheme="minorHAnsi"/>
        </w:rPr>
        <w:t xml:space="preserve"> v budúcnosti finančne zabezpečené splácanie toho záväzku. Mestská časť by mala pri svojom rozhodovaní o prijatí návratných zdrojov financovania postupovať veľmi uvážlivo a zodpovedne, posúdiť všetky faktory, ktoré ovplyvnia podmienky, za ktorých návratné finančné zdroje teraz získa a v budúcnosti bude splácať. Faktory, ktoré by mal</w:t>
      </w:r>
      <w:r>
        <w:rPr>
          <w:rFonts w:cstheme="minorHAnsi"/>
        </w:rPr>
        <w:t>a</w:t>
      </w:r>
      <w:r w:rsidRPr="00F62CED">
        <w:rPr>
          <w:rFonts w:cstheme="minorHAnsi"/>
        </w:rPr>
        <w:t xml:space="preserve"> pri rozhodovaní o spôsobe financovania brať do úvahy, sú napríklad spôsob ručenia, spôsob splácania úverových zdrojov, potenciálne výnosy plynúce z investície, schopnosť splácať úverové zdroje a náklady na obstaranie a reprodukciu získanej investície.</w:t>
      </w:r>
      <w:r>
        <w:rPr>
          <w:rFonts w:cstheme="minorHAnsi"/>
        </w:rPr>
        <w:t xml:space="preserve"> </w:t>
      </w:r>
      <w:r w:rsidRPr="009562BE">
        <w:rPr>
          <w:rFonts w:cstheme="minorHAnsi"/>
          <w:b/>
          <w:bCs/>
          <w:u w:val="single"/>
        </w:rPr>
        <w:t xml:space="preserve">Podmienky posudzovanej finančnej výpomoci považujem, vzhľadom na jej </w:t>
      </w:r>
      <w:proofErr w:type="spellStart"/>
      <w:r w:rsidRPr="009562BE">
        <w:rPr>
          <w:rFonts w:cstheme="minorHAnsi"/>
          <w:b/>
          <w:bCs/>
          <w:u w:val="single"/>
        </w:rPr>
        <w:t>bezúročnosť</w:t>
      </w:r>
      <w:proofErr w:type="spellEnd"/>
      <w:r w:rsidRPr="009562BE">
        <w:rPr>
          <w:rFonts w:cstheme="minorHAnsi"/>
          <w:b/>
          <w:bCs/>
          <w:u w:val="single"/>
        </w:rPr>
        <w:t xml:space="preserve"> a odklad splátok</w:t>
      </w:r>
      <w:r>
        <w:rPr>
          <w:rFonts w:cstheme="minorHAnsi"/>
          <w:b/>
          <w:bCs/>
          <w:u w:val="single"/>
        </w:rPr>
        <w:t>,</w:t>
      </w:r>
      <w:r w:rsidRPr="009562BE">
        <w:rPr>
          <w:rFonts w:cstheme="minorHAnsi"/>
          <w:b/>
          <w:bCs/>
          <w:u w:val="single"/>
        </w:rPr>
        <w:t xml:space="preserve"> za ekonomicky výhodné. </w:t>
      </w:r>
    </w:p>
    <w:p w14:paraId="643C67B6" w14:textId="77777777" w:rsidR="000405AE" w:rsidRPr="00F62CED" w:rsidRDefault="000405AE" w:rsidP="000405AE">
      <w:pPr>
        <w:spacing w:line="264" w:lineRule="auto"/>
        <w:jc w:val="both"/>
        <w:rPr>
          <w:rFonts w:cstheme="minorHAnsi"/>
        </w:rPr>
      </w:pPr>
      <w:r w:rsidRPr="00F62CED">
        <w:rPr>
          <w:rFonts w:cstheme="minorHAnsi"/>
          <w:b/>
          <w:bCs/>
          <w:u w:val="single"/>
        </w:rPr>
        <w:t>Návratnú finančnú výpomoc v zmysle Uznesenia vlády SR č. 494/2020 z 12. 08. 2020 môže mestská časť prijať, len ak celková suma dlhu mestskej časti neprekročí 50 % skutočných bežných príjmov predchádzajúceho rozpočtového roka a suma splátok návratných zdrojov financovania vrátane úhrady výnosov a suma splátok záväzkov z investičných dodávateľských úverov v príslušnom rozpočtovom roku neprekročí 25 % skutočných bežných príjmov predchádzajúceho rozpočtového roka</w:t>
      </w:r>
      <w:r w:rsidRPr="00F62CED">
        <w:rPr>
          <w:rFonts w:cstheme="minorHAnsi"/>
        </w:rPr>
        <w:t xml:space="preserve"> znížených o prostriedky poskytnuté v príslušnom rozpočtovom roku mestskej časti z rozpočtu iného subjektu verejnej správy, prostriedky poskytnuté z EÚ a iné prostriedky zo zahraničia alebo prostriedky získané na základe osobitného predpisu. Podmienkou pre získanie návratných zdrojov financovania až do výšky predpokladaného výpadku príjmov je splnenie podmienok úrovne celkového dlhu obce a splnenie úrovne výšky ročných splátok. Ďalšou z podmienok je povinnosť využitia poskytnutých finančných prostriedkov do konca roka 2020.</w:t>
      </w:r>
    </w:p>
    <w:p w14:paraId="7C638DF3" w14:textId="77777777" w:rsidR="000405AE" w:rsidRPr="00F62CED" w:rsidRDefault="000405AE" w:rsidP="000405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249A581" w14:textId="77777777" w:rsidR="000405AE" w:rsidRPr="00F62CED" w:rsidRDefault="000405AE" w:rsidP="000405AE">
      <w:pPr>
        <w:pStyle w:val="Default"/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</w:pPr>
      <w:r w:rsidRPr="00F62CED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 xml:space="preserve">Podľa §17 ods.7 a 8 </w:t>
      </w:r>
      <w:r w:rsidRPr="00F62CED">
        <w:rPr>
          <w:rFonts w:asciiTheme="minorHAnsi" w:hAnsiTheme="minorHAnsi" w:cstheme="minorHAnsi"/>
          <w:i/>
          <w:iCs/>
          <w:sz w:val="22"/>
          <w:szCs w:val="22"/>
        </w:rPr>
        <w:t>zákona o rozpočtových pravidlách územnej samosprávy</w:t>
      </w:r>
      <w:r w:rsidRPr="00F62CED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 xml:space="preserve"> celkovú sumu dlhu obce tvorí: </w:t>
      </w:r>
    </w:p>
    <w:p w14:paraId="2E5F1404" w14:textId="77777777" w:rsidR="000405AE" w:rsidRPr="00F62CED" w:rsidRDefault="000405AE" w:rsidP="000405AE">
      <w:pPr>
        <w:pStyle w:val="Default"/>
        <w:spacing w:after="47"/>
        <w:ind w:firstLine="142"/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</w:pPr>
      <w:r w:rsidRPr="00F62CED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 xml:space="preserve">• súhrn záväzkov vyplývajúcich zo splácania istín návratných zdrojov financovania, </w:t>
      </w:r>
    </w:p>
    <w:p w14:paraId="108FA23E" w14:textId="77777777" w:rsidR="000405AE" w:rsidRPr="00F62CED" w:rsidRDefault="000405AE" w:rsidP="000405AE">
      <w:pPr>
        <w:pStyle w:val="Default"/>
        <w:ind w:firstLine="142"/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</w:pPr>
      <w:r w:rsidRPr="00F62CED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 xml:space="preserve">• súhrn záväzkov z investičných dodávateľských úverov a ručiteľských záväzkov obce. </w:t>
      </w:r>
    </w:p>
    <w:p w14:paraId="714FCE41" w14:textId="77777777" w:rsidR="000405AE" w:rsidRPr="00F62CED" w:rsidRDefault="000405AE" w:rsidP="000405AE">
      <w:pPr>
        <w:pStyle w:val="Defaul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1DA89A7D" w14:textId="77777777" w:rsidR="000405AE" w:rsidRPr="00F62CED" w:rsidRDefault="000405AE" w:rsidP="000405AE">
      <w:pPr>
        <w:jc w:val="both"/>
        <w:rPr>
          <w:rFonts w:cstheme="minorHAnsi"/>
          <w:i/>
        </w:rPr>
      </w:pPr>
      <w:r w:rsidRPr="00F62CED">
        <w:rPr>
          <w:rFonts w:cstheme="minorHAnsi"/>
          <w:iCs/>
        </w:rPr>
        <w:t xml:space="preserve">Podľa § 17 ods. 7 a 8 zákona o rozpočtových pravidlách územnej samosprávy: </w:t>
      </w:r>
      <w:r w:rsidRPr="00F62CED">
        <w:rPr>
          <w:rFonts w:cstheme="minorHAnsi"/>
          <w:i/>
        </w:rPr>
        <w:t xml:space="preserve">Celkovou sumou dlhu obce alebo vyššieho územného celku sa na účely tohto zákona rozumie súhrn záväzkov </w:t>
      </w:r>
      <w:r w:rsidRPr="00F62CED">
        <w:rPr>
          <w:rFonts w:cstheme="minorHAnsi"/>
          <w:i/>
        </w:rPr>
        <w:lastRenderedPageBreak/>
        <w:t xml:space="preserve">vyplývajúcich zo splácania istín návratných zdrojov financovania, záväzkov z investičných dodávateľských úverov (viď pozn. pod čiarou 21a v zákone) a ručiteľských záväzkov obce alebo vyššieho územného celku. </w:t>
      </w:r>
      <w:r w:rsidRPr="00F62CED">
        <w:rPr>
          <w:rFonts w:cstheme="minorHAnsi"/>
          <w:b/>
          <w:bCs/>
          <w:i/>
          <w:u w:val="single"/>
        </w:rPr>
        <w:t>Do celkovej sumy dlhu obce podľa odseku 7 sa nezapočítavajú záväzky z pôžičky poskytnutej</w:t>
      </w:r>
      <w:r w:rsidRPr="00F62CED">
        <w:rPr>
          <w:rFonts w:cstheme="minorHAnsi"/>
          <w:i/>
        </w:rPr>
        <w:t xml:space="preserve"> z Audiovizuálneho fondu (§ 18 ods. 3 písm. b) zákona č. 516/2008 Z. z. o Audiovizuálnom fonde a o zmene a doplnení niektorých zákonov, viď pozn. pod čiarou 22 v zákone) a z úveru poskytnutého </w:t>
      </w:r>
      <w:r w:rsidRPr="00F62CED">
        <w:rPr>
          <w:rFonts w:cstheme="minorHAnsi"/>
          <w:b/>
          <w:bCs/>
          <w:i/>
          <w:u w:val="single"/>
        </w:rPr>
        <w:t>zo Štátneho fondu rozvoja bývania na obstaranie obecných nájomných bytov</w:t>
      </w:r>
      <w:r w:rsidRPr="00F62CED">
        <w:rPr>
          <w:rFonts w:cstheme="minorHAnsi"/>
          <w:i/>
        </w:rPr>
        <w:t xml:space="preserve"> (§ 6 ods. 1 písm. b) zákona č. 150/2013 Z. z. o Štátnom fonde rozvoja bývania, viď pozn. pod čiarou 23 v zákone) vo výške splátok úveru, ktorých úhrada je zahrnutá v cene ročného nájomného za obecné nájomné byty. </w:t>
      </w:r>
    </w:p>
    <w:p w14:paraId="683B5F16" w14:textId="77777777" w:rsidR="000405AE" w:rsidRPr="00F62CED" w:rsidRDefault="000405AE" w:rsidP="000405AE">
      <w:pPr>
        <w:pStyle w:val="Default"/>
        <w:ind w:left="284" w:hanging="142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</w:pPr>
      <w:r w:rsidRPr="00F62CED">
        <w:rPr>
          <w:rFonts w:asciiTheme="minorHAnsi" w:eastAsiaTheme="minorEastAsia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48BBB93E" w14:textId="77777777" w:rsidR="000405AE" w:rsidRPr="00F62CED" w:rsidRDefault="000405AE" w:rsidP="000405AE">
      <w:pPr>
        <w:jc w:val="both"/>
        <w:rPr>
          <w:rFonts w:cstheme="minorHAnsi"/>
          <w:i/>
          <w:iCs/>
        </w:rPr>
      </w:pPr>
      <w:r w:rsidRPr="00F62CED">
        <w:rPr>
          <w:rFonts w:cstheme="minorHAnsi"/>
          <w:i/>
          <w:iCs/>
        </w:rPr>
        <w:t xml:space="preserve">Podľa § 17 ods. 14 zákona č. 583/2004 </w:t>
      </w:r>
      <w:proofErr w:type="spellStart"/>
      <w:r w:rsidRPr="00F62CED">
        <w:rPr>
          <w:rFonts w:cstheme="minorHAnsi"/>
          <w:i/>
          <w:iCs/>
        </w:rPr>
        <w:t>Z.z</w:t>
      </w:r>
      <w:proofErr w:type="spellEnd"/>
      <w:r w:rsidRPr="00F62CED">
        <w:rPr>
          <w:rFonts w:cstheme="minorHAnsi"/>
          <w:i/>
          <w:iCs/>
        </w:rPr>
        <w:t>. dodržanie podmienok na prijatie návratných zdrojov financovania preveruje pred ich prijatím hlavný kontrolór. Porušenie podmienok na prijatie návratných zdrojov financovania obcou je hlavný kontrolór povinný bezodkladne oznámiť ministerstvu financií.</w:t>
      </w:r>
    </w:p>
    <w:p w14:paraId="64BE48BA" w14:textId="77777777" w:rsidR="000405AE" w:rsidRPr="00F62CED" w:rsidRDefault="000405AE" w:rsidP="000405AE">
      <w:pPr>
        <w:jc w:val="both"/>
        <w:rPr>
          <w:rFonts w:cstheme="minorHAnsi"/>
          <w:bCs/>
        </w:rPr>
      </w:pPr>
      <w:r w:rsidRPr="00F62CED">
        <w:rPr>
          <w:rFonts w:cstheme="minorHAnsi"/>
        </w:rPr>
        <w:t xml:space="preserve">Predmetné stanovisko bolo vypracované na základe žiadosti miestneho úradu na účely preverenia dodržania podmienok na prijatie návratných zdrojov financovania, a to pre prijatie návratného finančného príspevku  vo výške </w:t>
      </w:r>
      <w:r w:rsidRPr="00F62CED">
        <w:rPr>
          <w:rFonts w:cstheme="minorHAnsi"/>
          <w:b/>
        </w:rPr>
        <w:t xml:space="preserve">227 824€, </w:t>
      </w:r>
      <w:r w:rsidRPr="00F62CED">
        <w:rPr>
          <w:rFonts w:cstheme="minorHAnsi"/>
          <w:bCs/>
        </w:rPr>
        <w:t xml:space="preserve">s odkladom splátok na roky 2024 – 2027, pričom ročné splátky predstavujú sumu 56 956€. </w:t>
      </w:r>
    </w:p>
    <w:p w14:paraId="72F8F32A" w14:textId="77777777" w:rsidR="000405AE" w:rsidRDefault="000405AE" w:rsidP="000405AE">
      <w:pPr>
        <w:pStyle w:val="Odsekzoznamu"/>
        <w:numPr>
          <w:ilvl w:val="0"/>
          <w:numId w:val="19"/>
        </w:numPr>
        <w:spacing w:after="160" w:line="276" w:lineRule="auto"/>
        <w:rPr>
          <w:b/>
          <w:bCs/>
          <w:color w:val="5B9BD5" w:themeColor="accent1"/>
          <w:sz w:val="28"/>
          <w:szCs w:val="28"/>
        </w:rPr>
      </w:pPr>
      <w:r w:rsidRPr="00604E41">
        <w:rPr>
          <w:b/>
          <w:bCs/>
          <w:color w:val="5B9BD5" w:themeColor="accent1"/>
          <w:sz w:val="28"/>
          <w:szCs w:val="28"/>
        </w:rPr>
        <w:t xml:space="preserve">VÝCHODISKOVÝ STAV </w:t>
      </w:r>
    </w:p>
    <w:p w14:paraId="53958C2A" w14:textId="77777777" w:rsidR="000405AE" w:rsidRPr="00913A00" w:rsidRDefault="000405AE" w:rsidP="000405AE">
      <w:pPr>
        <w:rPr>
          <w:rFonts w:cstheme="minorHAnsi"/>
        </w:rPr>
      </w:pPr>
      <w:r w:rsidRPr="00913A00">
        <w:rPr>
          <w:rFonts w:cstheme="minorHAnsi"/>
        </w:rPr>
        <w:t xml:space="preserve">Pri preverovaní dodržiavania podmienok na prijatie návratných zdrojov financovania podľa  ustanovenia § 17 ods. 6 zákona č. 583/2004 </w:t>
      </w:r>
      <w:proofErr w:type="spellStart"/>
      <w:r w:rsidRPr="00913A00">
        <w:rPr>
          <w:rFonts w:cstheme="minorHAnsi"/>
        </w:rPr>
        <w:t>Z.z</w:t>
      </w:r>
      <w:proofErr w:type="spellEnd"/>
      <w:r w:rsidRPr="00913A00">
        <w:rPr>
          <w:rFonts w:cstheme="minorHAnsi"/>
        </w:rPr>
        <w:t xml:space="preserve">. </w:t>
      </w:r>
      <w:r>
        <w:rPr>
          <w:rFonts w:cstheme="minorHAnsi"/>
        </w:rPr>
        <w:t>som zistil:</w:t>
      </w:r>
    </w:p>
    <w:p w14:paraId="2B2F157B" w14:textId="77777777" w:rsidR="000405AE" w:rsidRPr="00913A00" w:rsidRDefault="000405AE" w:rsidP="000405AE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Podľa záverečného účtu za rok 2019, </w:t>
      </w:r>
      <w:proofErr w:type="spellStart"/>
      <w:r w:rsidRPr="00913A00">
        <w:rPr>
          <w:rFonts w:cstheme="minorHAnsi"/>
        </w:rPr>
        <w:t>t.j</w:t>
      </w:r>
      <w:proofErr w:type="spellEnd"/>
      <w:r w:rsidRPr="00913A00">
        <w:rPr>
          <w:rFonts w:cstheme="minorHAnsi"/>
        </w:rPr>
        <w:t xml:space="preserve">.  za predchádzajúci rozpočtový rok, mestská časť vykázala skutočné bežné príjmy vo výške  </w:t>
      </w:r>
      <w:r w:rsidRPr="00913A00">
        <w:rPr>
          <w:rFonts w:cstheme="minorHAnsi"/>
          <w:b/>
          <w:bCs/>
          <w:u w:val="single"/>
        </w:rPr>
        <w:t>10 012 545,24€</w:t>
      </w:r>
      <w:r>
        <w:rPr>
          <w:rFonts w:cstheme="minorHAnsi"/>
          <w:b/>
          <w:bCs/>
          <w:u w:val="single"/>
        </w:rPr>
        <w:t>.</w:t>
      </w:r>
    </w:p>
    <w:p w14:paraId="4857CA94" w14:textId="77777777" w:rsidR="000405AE" w:rsidRPr="00913A00" w:rsidRDefault="000405AE" w:rsidP="000405AE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Skutočné bežné príjmy znížené o príjmy podľa §17 ods. 6 písm. b) zákona č. 583/2004 </w:t>
      </w:r>
      <w:proofErr w:type="spellStart"/>
      <w:r w:rsidRPr="00913A00">
        <w:rPr>
          <w:rFonts w:cstheme="minorHAnsi"/>
        </w:rPr>
        <w:t>Z.z</w:t>
      </w:r>
      <w:proofErr w:type="spellEnd"/>
      <w:r w:rsidRPr="00913A00">
        <w:rPr>
          <w:rFonts w:cstheme="minorHAnsi"/>
        </w:rPr>
        <w:t xml:space="preserve">  predstavovali sumu </w:t>
      </w:r>
      <w:bookmarkStart w:id="2" w:name="_Hlk53580302"/>
      <w:r w:rsidRPr="00913A00">
        <w:rPr>
          <w:rFonts w:cstheme="minorHAnsi"/>
          <w:b/>
          <w:bCs/>
          <w:u w:val="single"/>
        </w:rPr>
        <w:t xml:space="preserve">7 342 059,24 </w:t>
      </w:r>
      <w:bookmarkEnd w:id="2"/>
      <w:r w:rsidRPr="00913A00">
        <w:rPr>
          <w:rFonts w:cstheme="minorHAnsi"/>
          <w:b/>
          <w:bCs/>
          <w:u w:val="single"/>
        </w:rPr>
        <w:t>€</w:t>
      </w:r>
      <w:r>
        <w:rPr>
          <w:rFonts w:cstheme="minorHAnsi"/>
          <w:b/>
          <w:bCs/>
          <w:u w:val="single"/>
        </w:rPr>
        <w:t>.</w:t>
      </w:r>
      <w:r w:rsidRPr="00913A00">
        <w:rPr>
          <w:rFonts w:cstheme="minorHAnsi"/>
        </w:rPr>
        <w:t xml:space="preserve"> </w:t>
      </w:r>
    </w:p>
    <w:p w14:paraId="6B0360C3" w14:textId="77777777" w:rsidR="000405AE" w:rsidRPr="00913A00" w:rsidRDefault="000405AE" w:rsidP="000405AE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Celková suma dlhu mestskej časti k 30.9.2020 podľa údajov predložených mestskou časťou predstavuje sumu  </w:t>
      </w:r>
      <w:r w:rsidRPr="00913A00">
        <w:rPr>
          <w:rFonts w:cstheme="minorHAnsi"/>
          <w:b/>
          <w:bCs/>
          <w:u w:val="single"/>
        </w:rPr>
        <w:t>0 €,</w:t>
      </w:r>
    </w:p>
    <w:p w14:paraId="7BA4003D" w14:textId="77777777" w:rsidR="000405AE" w:rsidRDefault="000405AE" w:rsidP="000405AE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Suma ročných splátok návratných zdrojov financovania vrátane úhrady výnosov podľa údajov </w:t>
      </w:r>
      <w:r>
        <w:rPr>
          <w:rFonts w:cstheme="minorHAnsi"/>
        </w:rPr>
        <w:t xml:space="preserve">k </w:t>
      </w:r>
      <w:r w:rsidRPr="00913A00">
        <w:rPr>
          <w:rFonts w:cstheme="minorHAnsi"/>
        </w:rPr>
        <w:t xml:space="preserve">31.12.2019 predstavuje sumu </w:t>
      </w:r>
      <w:r w:rsidRPr="00913A00">
        <w:rPr>
          <w:rFonts w:cstheme="minorHAnsi"/>
          <w:b/>
          <w:bCs/>
          <w:u w:val="single"/>
        </w:rPr>
        <w:t>31 474,56 €</w:t>
      </w:r>
      <w:r w:rsidRPr="00913A00">
        <w:rPr>
          <w:rFonts w:cstheme="minorHAnsi"/>
        </w:rPr>
        <w:t xml:space="preserve">. </w:t>
      </w:r>
    </w:p>
    <w:p w14:paraId="5DAA1779" w14:textId="77777777" w:rsidR="000405AE" w:rsidRPr="00604E41" w:rsidRDefault="000405AE" w:rsidP="000405AE">
      <w:pPr>
        <w:pStyle w:val="Odsekzoznamu"/>
        <w:spacing w:after="200"/>
        <w:jc w:val="both"/>
        <w:rPr>
          <w:rFonts w:cstheme="minorHAnsi"/>
        </w:rPr>
      </w:pPr>
    </w:p>
    <w:p w14:paraId="61536BC6" w14:textId="77777777" w:rsidR="000405AE" w:rsidRPr="00261E90" w:rsidRDefault="000405AE" w:rsidP="000405AE">
      <w:pPr>
        <w:pStyle w:val="Odsekzoznamu"/>
        <w:numPr>
          <w:ilvl w:val="0"/>
          <w:numId w:val="19"/>
        </w:numPr>
        <w:spacing w:after="160" w:line="276" w:lineRule="auto"/>
        <w:rPr>
          <w:b/>
          <w:bCs/>
          <w:color w:val="5B9BD5" w:themeColor="accent1"/>
          <w:sz w:val="28"/>
          <w:szCs w:val="28"/>
        </w:rPr>
      </w:pPr>
      <w:r w:rsidRPr="00604E41">
        <w:rPr>
          <w:b/>
          <w:bCs/>
          <w:color w:val="5B9BD5" w:themeColor="accent1"/>
          <w:sz w:val="28"/>
          <w:szCs w:val="28"/>
        </w:rPr>
        <w:t>CELKOVÁ POSUDZOVANÁ SUMA DLHU MESTSKEJ ČASTI</w:t>
      </w:r>
    </w:p>
    <w:p w14:paraId="585A7D92" w14:textId="77777777" w:rsidR="000405AE" w:rsidRPr="00604E41" w:rsidRDefault="000405AE" w:rsidP="000405AE">
      <w:pPr>
        <w:rPr>
          <w:rFonts w:cstheme="minorHAnsi"/>
        </w:rPr>
      </w:pPr>
      <w:r w:rsidRPr="00604E41">
        <w:rPr>
          <w:rFonts w:cstheme="minorHAnsi"/>
        </w:rPr>
        <w:t xml:space="preserve">V súčasnosti sa do celkovej sumy dlhu mestskej časti  započítavajú záväzky vo výške 0 €. </w:t>
      </w:r>
    </w:p>
    <w:p w14:paraId="2290206F" w14:textId="77777777" w:rsidR="000405AE" w:rsidRDefault="000405AE" w:rsidP="000405AE">
      <w:pPr>
        <w:jc w:val="both"/>
        <w:rPr>
          <w:rFonts w:cstheme="minorHAnsi"/>
        </w:rPr>
      </w:pPr>
      <w:r w:rsidRPr="00604E41">
        <w:rPr>
          <w:rFonts w:cstheme="minorHAnsi"/>
        </w:rPr>
        <w:t>Do celkovej sumy dlhu mestskej časti sa nezapočítavajú záväzky 23 010,10 € (zostatok úveru na financovanie výstavby nájomných bytov z Štátneho fondu rozvoja bývania).</w:t>
      </w:r>
    </w:p>
    <w:p w14:paraId="0E39065D" w14:textId="77777777" w:rsidR="000405AE" w:rsidRPr="00913A00" w:rsidRDefault="000405AE" w:rsidP="000405AE">
      <w:pPr>
        <w:rPr>
          <w:rFonts w:cstheme="minorHAnsi"/>
        </w:rPr>
      </w:pPr>
      <w:r w:rsidRPr="00913A00">
        <w:rPr>
          <w:rFonts w:cstheme="minorHAnsi"/>
        </w:rPr>
        <w:t>Po preverení vyššie uvedených skutočností konštatujem:</w:t>
      </w:r>
    </w:p>
    <w:p w14:paraId="3CB5CE90" w14:textId="77777777" w:rsidR="000405AE" w:rsidRPr="00913A00" w:rsidRDefault="000405AE" w:rsidP="000405AE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Celková výška dlhu mestskej časti po schválení prijatia návratného finančného príspevku zo strany miestneho zastupiteľstva bude predstavovať sumu   </w:t>
      </w:r>
      <w:r w:rsidRPr="00913A00">
        <w:rPr>
          <w:rFonts w:cstheme="minorHAnsi"/>
          <w:b/>
          <w:bCs/>
          <w:u w:val="single"/>
        </w:rPr>
        <w:t>227 824 €</w:t>
      </w:r>
      <w:r>
        <w:rPr>
          <w:rFonts w:cstheme="minorHAnsi"/>
          <w:b/>
          <w:bCs/>
          <w:u w:val="single"/>
        </w:rPr>
        <w:t>.</w:t>
      </w:r>
    </w:p>
    <w:p w14:paraId="25C24DAB" w14:textId="77777777" w:rsidR="000405AE" w:rsidRDefault="000405AE" w:rsidP="000405AE">
      <w:pPr>
        <w:pStyle w:val="Odsekzoznamu"/>
        <w:numPr>
          <w:ilvl w:val="0"/>
          <w:numId w:val="18"/>
        </w:numPr>
        <w:spacing w:after="200" w:line="276" w:lineRule="auto"/>
        <w:jc w:val="both"/>
        <w:rPr>
          <w:rFonts w:cstheme="minorHAnsi"/>
        </w:rPr>
      </w:pPr>
      <w:r w:rsidRPr="00913A00">
        <w:rPr>
          <w:rFonts w:cstheme="minorHAnsi"/>
        </w:rPr>
        <w:t xml:space="preserve">Celková suma dlhu pre účely posudzovania dodržiavania podmienok na prijatie návratných zdrojov financovania predstavuje </w:t>
      </w:r>
      <w:r w:rsidRPr="00913A00">
        <w:rPr>
          <w:rFonts w:cstheme="minorHAnsi"/>
          <w:b/>
          <w:u w:val="single"/>
        </w:rPr>
        <w:t>2,28 %  skutočných bežných príjmov predchádzajúceho rozpočtového roka</w:t>
      </w:r>
      <w:r w:rsidRPr="00913A00">
        <w:rPr>
          <w:rFonts w:cstheme="minorHAnsi"/>
        </w:rPr>
        <w:t xml:space="preserve">, </w:t>
      </w:r>
      <w:proofErr w:type="spellStart"/>
      <w:r w:rsidRPr="00913A00">
        <w:rPr>
          <w:rFonts w:cstheme="minorHAnsi"/>
        </w:rPr>
        <w:t>t.j</w:t>
      </w:r>
      <w:proofErr w:type="spellEnd"/>
      <w:r w:rsidRPr="00913A00">
        <w:rPr>
          <w:rFonts w:cstheme="minorHAnsi"/>
        </w:rPr>
        <w:t xml:space="preserve">. neprekročí 50 % skutočných bežných príjmov predchádzajúceho rozpočtového roka vyžadovaných podmienkami pre poskytnutie návratného finančného príspevku. </w:t>
      </w:r>
    </w:p>
    <w:p w14:paraId="2A2A6D6B" w14:textId="77777777" w:rsidR="000405AE" w:rsidRDefault="000405AE" w:rsidP="000405AE">
      <w:pPr>
        <w:pStyle w:val="Odsekzoznamu"/>
        <w:spacing w:after="200"/>
        <w:ind w:left="1080"/>
        <w:jc w:val="both"/>
        <w:rPr>
          <w:rFonts w:cstheme="minorHAnsi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2079"/>
        <w:gridCol w:w="2418"/>
        <w:gridCol w:w="146"/>
      </w:tblGrid>
      <w:tr w:rsidR="000405AE" w:rsidRPr="005F7328" w14:paraId="7B37D21C" w14:textId="77777777" w:rsidTr="00030A5A">
        <w:trPr>
          <w:gridAfter w:val="1"/>
          <w:wAfter w:w="36" w:type="dxa"/>
          <w:trHeight w:val="300"/>
        </w:trPr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B4629C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Celkový posudzovaný stav dlhu mestskej časti</w:t>
            </w:r>
          </w:p>
        </w:tc>
      </w:tr>
      <w:tr w:rsidR="000405AE" w:rsidRPr="005F7328" w14:paraId="51BB6A9F" w14:textId="77777777" w:rsidTr="00030A5A">
        <w:trPr>
          <w:gridAfter w:val="1"/>
          <w:wAfter w:w="36" w:type="dxa"/>
          <w:trHeight w:val="450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847B67" w14:textId="77777777" w:rsidR="000405AE" w:rsidRPr="005F7328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Bežné príjmy rozpočtového roka/</w:t>
            </w: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Názov dlhu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7EE261" w14:textId="77777777" w:rsidR="000405AE" w:rsidRPr="005F7328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Skutočnosť </w:t>
            </w: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k 31. 12. 2019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BF7369" w14:textId="77777777" w:rsidR="000405AE" w:rsidRPr="005F7328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Skutočnosť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 prijatí NFV </w:t>
            </w: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k 30. 06. 2020  *</w:t>
            </w:r>
          </w:p>
        </w:tc>
      </w:tr>
      <w:tr w:rsidR="000405AE" w:rsidRPr="005F7328" w14:paraId="4815AB46" w14:textId="77777777" w:rsidTr="00030A5A">
        <w:trPr>
          <w:trHeight w:val="402"/>
        </w:trPr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29AF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E2D6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F16E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B997" w14:textId="77777777" w:rsidR="000405AE" w:rsidRPr="005F7328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05AE" w:rsidRPr="005F7328" w14:paraId="7753619C" w14:textId="77777777" w:rsidTr="00030A5A">
        <w:trPr>
          <w:trHeight w:val="3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78F8" w14:textId="77777777" w:rsidR="000405AE" w:rsidRPr="005F7328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Bežné príjmy mestskej časti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216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10 012 545,24 €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3E1E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5 109 687,08 € </w:t>
            </w:r>
          </w:p>
        </w:tc>
        <w:tc>
          <w:tcPr>
            <w:tcW w:w="36" w:type="dxa"/>
            <w:vAlign w:val="center"/>
            <w:hideMark/>
          </w:tcPr>
          <w:p w14:paraId="2BE7D140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27578D1B" w14:textId="77777777" w:rsidTr="00030A5A">
        <w:trPr>
          <w:trHeight w:val="3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83F3" w14:textId="77777777" w:rsidR="000405AE" w:rsidRPr="005F7328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60% skutočných bežných príjmov roka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8DE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6 007 527,14 €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374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3 065 812,25 € </w:t>
            </w:r>
          </w:p>
        </w:tc>
        <w:tc>
          <w:tcPr>
            <w:tcW w:w="36" w:type="dxa"/>
            <w:vAlign w:val="center"/>
            <w:hideMark/>
          </w:tcPr>
          <w:p w14:paraId="326D54B6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0996F45C" w14:textId="77777777" w:rsidTr="00030A5A">
        <w:trPr>
          <w:trHeight w:val="3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071E" w14:textId="77777777" w:rsidR="000405AE" w:rsidRPr="005F7328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50% skutočných bežných príjmov roka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096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5 006 272,62 €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98B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2 554 843,54 € </w:t>
            </w:r>
          </w:p>
        </w:tc>
        <w:tc>
          <w:tcPr>
            <w:tcW w:w="36" w:type="dxa"/>
            <w:vAlign w:val="center"/>
            <w:hideMark/>
          </w:tcPr>
          <w:p w14:paraId="0D58252D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66C87857" w14:textId="77777777" w:rsidTr="00030A5A">
        <w:trPr>
          <w:trHeight w:val="3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F292C0F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Celkový stav dlhu, z toho: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8C35F4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-  €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FED13E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227 824,00 € </w:t>
            </w:r>
          </w:p>
        </w:tc>
        <w:tc>
          <w:tcPr>
            <w:tcW w:w="36" w:type="dxa"/>
            <w:vAlign w:val="center"/>
            <w:hideMark/>
          </w:tcPr>
          <w:p w14:paraId="44AE1E2D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271BA4BE" w14:textId="77777777" w:rsidTr="00030A5A">
        <w:trPr>
          <w:trHeight w:val="33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9333" w14:textId="77777777" w:rsidR="000405AE" w:rsidRPr="005F7328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Úver ŠFRB (nezapočítava sa do celkového dlhu)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D18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46 616,02 €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2B9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      23 010,10 € </w:t>
            </w:r>
          </w:p>
        </w:tc>
        <w:tc>
          <w:tcPr>
            <w:tcW w:w="36" w:type="dxa"/>
            <w:vAlign w:val="center"/>
            <w:hideMark/>
          </w:tcPr>
          <w:p w14:paraId="0DC7051B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1F817E0C" w14:textId="77777777" w:rsidTr="00030A5A">
        <w:trPr>
          <w:trHeight w:val="40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CEE2" w14:textId="77777777" w:rsidR="000405AE" w:rsidRPr="005F7328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>NFV poskytnutá MF SR - kompenzácia výpadku príjmov DPFO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A758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              -  €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C9C61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7328">
              <w:rPr>
                <w:rFonts w:ascii="Calibri" w:hAnsi="Calibri" w:cs="Calibri"/>
                <w:sz w:val="20"/>
                <w:szCs w:val="20"/>
              </w:rPr>
              <w:t xml:space="preserve">                           227 824,00 € </w:t>
            </w:r>
          </w:p>
        </w:tc>
        <w:tc>
          <w:tcPr>
            <w:tcW w:w="36" w:type="dxa"/>
            <w:vAlign w:val="center"/>
            <w:hideMark/>
          </w:tcPr>
          <w:p w14:paraId="3C082508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3900AE75" w14:textId="77777777" w:rsidTr="00030A5A">
        <w:trPr>
          <w:trHeight w:val="60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5CD598B" w14:textId="77777777" w:rsidR="000405AE" w:rsidRPr="005F7328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Podiel celkovej sumy dlhu na bežných príjmoch predchádzajúceho </w:t>
            </w:r>
            <w:proofErr w:type="spellStart"/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rozp</w:t>
            </w:r>
            <w:proofErr w:type="spellEnd"/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. roka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F0F266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902924" w14:textId="77777777" w:rsidR="000405AE" w:rsidRPr="005F7328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328">
              <w:rPr>
                <w:rFonts w:ascii="Calibri" w:hAnsi="Calibri" w:cs="Calibri"/>
                <w:b/>
                <w:bCs/>
                <w:sz w:val="20"/>
                <w:szCs w:val="20"/>
              </w:rPr>
              <w:t>2,28%</w:t>
            </w:r>
          </w:p>
        </w:tc>
        <w:tc>
          <w:tcPr>
            <w:tcW w:w="36" w:type="dxa"/>
            <w:vAlign w:val="center"/>
            <w:hideMark/>
          </w:tcPr>
          <w:p w14:paraId="0C872E1C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F7328" w14:paraId="3A6E98BD" w14:textId="77777777" w:rsidTr="00030A5A">
        <w:trPr>
          <w:trHeight w:val="525"/>
        </w:trPr>
        <w:tc>
          <w:tcPr>
            <w:tcW w:w="8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8083" w14:textId="77777777" w:rsidR="000405AE" w:rsidRPr="005F7328" w:rsidRDefault="000405AE" w:rsidP="00030A5A">
            <w:pPr>
              <w:rPr>
                <w:rFonts w:ascii="Calibri" w:hAnsi="Calibri" w:cs="Calibri"/>
                <w:sz w:val="16"/>
                <w:szCs w:val="16"/>
              </w:rPr>
            </w:pPr>
            <w:r w:rsidRPr="005F7328">
              <w:rPr>
                <w:rFonts w:ascii="Calibri" w:hAnsi="Calibri" w:cs="Calibri"/>
                <w:sz w:val="16"/>
                <w:szCs w:val="16"/>
              </w:rPr>
              <w:t xml:space="preserve">Zdroj: Záverečný účet mestskej časti za rok 2019, Rozpočet </w:t>
            </w:r>
            <w:proofErr w:type="spellStart"/>
            <w:r w:rsidRPr="005F7328">
              <w:rPr>
                <w:rFonts w:ascii="Calibri" w:hAnsi="Calibri" w:cs="Calibri"/>
                <w:sz w:val="16"/>
                <w:szCs w:val="16"/>
              </w:rPr>
              <w:t>mestkej</w:t>
            </w:r>
            <w:proofErr w:type="spellEnd"/>
            <w:r w:rsidRPr="005F7328">
              <w:rPr>
                <w:rFonts w:ascii="Calibri" w:hAnsi="Calibri" w:cs="Calibri"/>
                <w:sz w:val="16"/>
                <w:szCs w:val="16"/>
              </w:rPr>
              <w:t xml:space="preserve"> časti na rok 2020 a jeho 3. úprava  (Uznesenie č.222/2018-2022 z 22.9.2020);  * - výška úveru z ŠFRB k 30.09.2020)</w:t>
            </w:r>
          </w:p>
        </w:tc>
        <w:tc>
          <w:tcPr>
            <w:tcW w:w="36" w:type="dxa"/>
            <w:vAlign w:val="center"/>
            <w:hideMark/>
          </w:tcPr>
          <w:p w14:paraId="081C22C5" w14:textId="77777777" w:rsidR="000405AE" w:rsidRPr="005F7328" w:rsidRDefault="000405AE" w:rsidP="00030A5A">
            <w:pPr>
              <w:rPr>
                <w:sz w:val="20"/>
                <w:szCs w:val="20"/>
              </w:rPr>
            </w:pPr>
          </w:p>
        </w:tc>
      </w:tr>
    </w:tbl>
    <w:p w14:paraId="3FE654D7" w14:textId="77777777" w:rsidR="000405AE" w:rsidRPr="005F7328" w:rsidRDefault="000405AE" w:rsidP="000405AE">
      <w:pPr>
        <w:pStyle w:val="Odsekzoznamu"/>
        <w:spacing w:after="200"/>
        <w:ind w:left="1080"/>
        <w:jc w:val="both"/>
        <w:rPr>
          <w:rFonts w:cstheme="minorHAnsi"/>
        </w:rPr>
      </w:pPr>
    </w:p>
    <w:p w14:paraId="02518F34" w14:textId="77777777" w:rsidR="000405AE" w:rsidRPr="00604E41" w:rsidRDefault="000405AE" w:rsidP="000405AE">
      <w:pPr>
        <w:pStyle w:val="Odsekzoznamu"/>
        <w:numPr>
          <w:ilvl w:val="0"/>
          <w:numId w:val="19"/>
        </w:numPr>
        <w:spacing w:after="160" w:line="276" w:lineRule="auto"/>
        <w:rPr>
          <w:b/>
          <w:bCs/>
          <w:color w:val="5B9BD5" w:themeColor="accent1"/>
          <w:sz w:val="28"/>
          <w:szCs w:val="28"/>
        </w:rPr>
      </w:pPr>
      <w:r w:rsidRPr="00604E41">
        <w:rPr>
          <w:b/>
          <w:bCs/>
          <w:color w:val="5B9BD5" w:themeColor="accent1"/>
          <w:sz w:val="28"/>
          <w:szCs w:val="28"/>
        </w:rPr>
        <w:t xml:space="preserve">ROČNÉ SPLÁTKY </w:t>
      </w:r>
      <w:r>
        <w:rPr>
          <w:b/>
          <w:bCs/>
          <w:color w:val="5B9BD5" w:themeColor="accent1"/>
          <w:sz w:val="28"/>
          <w:szCs w:val="28"/>
        </w:rPr>
        <w:t>NÁVRATNÝCH ZDROJOV FINANCOVANIA</w:t>
      </w:r>
    </w:p>
    <w:p w14:paraId="0DEF823B" w14:textId="77777777" w:rsidR="000405AE" w:rsidRPr="00913A00" w:rsidRDefault="000405AE" w:rsidP="000405AE">
      <w:pPr>
        <w:jc w:val="both"/>
        <w:rPr>
          <w:rFonts w:cstheme="minorHAnsi"/>
        </w:rPr>
      </w:pPr>
      <w:r w:rsidRPr="00913A00">
        <w:rPr>
          <w:rFonts w:cstheme="minorHAnsi"/>
        </w:rPr>
        <w:t xml:space="preserve">Celková predpokladaná suma ročných splátok návratných zdrojov financovania vrátane úhrady výnosov pre rok 2020 predstavovala sumu 31 474,56 €.  Najneskôr v budúcom roku dôjde k splateniu úveru zo Štátneho fondu rozvoja bývania. Posudzovaná finančná výpomoc má však odklad splátok na roky 2024–2027, pričom ročná splátka bude </w:t>
      </w:r>
      <w:r w:rsidRPr="00913A00">
        <w:rPr>
          <w:rFonts w:cstheme="minorHAnsi"/>
          <w:bCs/>
        </w:rPr>
        <w:t>56 956€. Po splatení úveru zo Štátneho fondu rozvoja bývania bu</w:t>
      </w:r>
      <w:r w:rsidRPr="00913A00">
        <w:rPr>
          <w:rFonts w:cstheme="minorHAnsi"/>
        </w:rPr>
        <w:t>de splátka posudzovanej finančnej pomoci jediným úverovým zaťažením.</w:t>
      </w:r>
    </w:p>
    <w:tbl>
      <w:tblPr>
        <w:tblW w:w="8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151"/>
        <w:gridCol w:w="2495"/>
        <w:gridCol w:w="160"/>
      </w:tblGrid>
      <w:tr w:rsidR="000405AE" w:rsidRPr="005165DE" w14:paraId="648C1E14" w14:textId="77777777" w:rsidTr="00030A5A">
        <w:trPr>
          <w:gridAfter w:val="1"/>
          <w:wAfter w:w="160" w:type="dxa"/>
          <w:trHeight w:val="70"/>
        </w:trPr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63B7BA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Ročné splátky návratných zdrojov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65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financovania</w:t>
            </w:r>
          </w:p>
        </w:tc>
      </w:tr>
      <w:tr w:rsidR="000405AE" w:rsidRPr="005165DE" w14:paraId="02498356" w14:textId="77777777" w:rsidTr="00030A5A">
        <w:trPr>
          <w:gridAfter w:val="1"/>
          <w:wAfter w:w="160" w:type="dxa"/>
          <w:trHeight w:val="49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6AD85A" w14:textId="77777777" w:rsidR="000405AE" w:rsidRPr="005165DE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Plnenie kritérií zdrojov financovania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FAF4E7" w14:textId="77777777" w:rsidR="000405AE" w:rsidRPr="005165DE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Skutočnosť </w:t>
            </w: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k 31. 12. 2019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91ED4E" w14:textId="77777777" w:rsidR="000405AE" w:rsidRPr="005165DE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Po prijatí NFV</w:t>
            </w: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 na rok 2020</w:t>
            </w:r>
          </w:p>
        </w:tc>
      </w:tr>
      <w:tr w:rsidR="000405AE" w:rsidRPr="005165DE" w14:paraId="719EFADC" w14:textId="77777777" w:rsidTr="00030A5A">
        <w:trPr>
          <w:trHeight w:val="7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1DFB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18AE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844F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DE9" w14:textId="77777777" w:rsidR="000405AE" w:rsidRPr="005165DE" w:rsidRDefault="000405AE" w:rsidP="00030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05AE" w:rsidRPr="005165DE" w14:paraId="2193452C" w14:textId="77777777" w:rsidTr="00030A5A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43E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>Bežné príjmy mestskej časti znížené v zmysle § 17 ods. 6 písm. b)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522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65DE">
              <w:rPr>
                <w:rFonts w:ascii="Calibri" w:hAnsi="Calibri" w:cs="Calibri"/>
                <w:color w:val="000000"/>
                <w:sz w:val="20"/>
                <w:szCs w:val="20"/>
              </w:rPr>
              <w:t>7 342 059,24 €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F7E0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65DE">
              <w:rPr>
                <w:rFonts w:ascii="Calibri" w:hAnsi="Calibri" w:cs="Calibri"/>
                <w:color w:val="000000"/>
                <w:sz w:val="20"/>
                <w:szCs w:val="20"/>
              </w:rPr>
              <w:t>7 342 059,24 €</w:t>
            </w:r>
          </w:p>
        </w:tc>
        <w:tc>
          <w:tcPr>
            <w:tcW w:w="160" w:type="dxa"/>
            <w:vAlign w:val="center"/>
            <w:hideMark/>
          </w:tcPr>
          <w:p w14:paraId="6EE9FCC7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151E3593" w14:textId="77777777" w:rsidTr="00030A5A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6B99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>25 % skutočných bežných príjmov rozpočtového roka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26A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 xml:space="preserve">                1 835 514,81 €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D171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5DE">
              <w:rPr>
                <w:rFonts w:ascii="Calibri" w:hAnsi="Calibri" w:cs="Calibri"/>
                <w:sz w:val="20"/>
                <w:szCs w:val="20"/>
              </w:rPr>
              <w:t xml:space="preserve"> 1 835 514,81 € </w:t>
            </w:r>
          </w:p>
        </w:tc>
        <w:tc>
          <w:tcPr>
            <w:tcW w:w="160" w:type="dxa"/>
            <w:vAlign w:val="center"/>
            <w:hideMark/>
          </w:tcPr>
          <w:p w14:paraId="0EF982DE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4B3FE253" w14:textId="77777777" w:rsidTr="00030A5A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FA0159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Suma ročných splátok NZF a úhrada výnosov, z toho: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128EF9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31 474,56 €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039F8E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88 430,56 € </w:t>
            </w:r>
          </w:p>
        </w:tc>
        <w:tc>
          <w:tcPr>
            <w:tcW w:w="160" w:type="dxa"/>
            <w:vAlign w:val="center"/>
            <w:hideMark/>
          </w:tcPr>
          <w:p w14:paraId="090CCDCD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3A610C07" w14:textId="77777777" w:rsidTr="00030A5A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79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>Ročné splátky úveru z ŠFRB (nezapočítava sa do celkového dlhu)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B33C7F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 xml:space="preserve">                      31 474,56 €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249566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 xml:space="preserve">                             31 474,56 € </w:t>
            </w:r>
          </w:p>
        </w:tc>
        <w:tc>
          <w:tcPr>
            <w:tcW w:w="160" w:type="dxa"/>
            <w:vAlign w:val="center"/>
            <w:hideMark/>
          </w:tcPr>
          <w:p w14:paraId="3C844BE9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3F92C9F4" w14:textId="77777777" w:rsidTr="00030A5A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EFA" w14:textId="77777777" w:rsidR="000405AE" w:rsidRPr="005165DE" w:rsidRDefault="000405AE" w:rsidP="00030A5A">
            <w:pPr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>Ročné splátky NFV - kompenzácia výpadku príjmov DPFO (od roku 2024)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71FCC4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-   €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FAE423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165DE">
              <w:rPr>
                <w:rFonts w:ascii="Calibri" w:hAnsi="Calibri" w:cs="Calibri"/>
                <w:sz w:val="20"/>
                <w:szCs w:val="20"/>
              </w:rPr>
              <w:t xml:space="preserve">                             56 956,00 € </w:t>
            </w:r>
          </w:p>
        </w:tc>
        <w:tc>
          <w:tcPr>
            <w:tcW w:w="160" w:type="dxa"/>
            <w:vAlign w:val="center"/>
            <w:hideMark/>
          </w:tcPr>
          <w:p w14:paraId="130EF327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3C103C81" w14:textId="77777777" w:rsidTr="00030A5A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A649D" w14:textId="77777777" w:rsidR="000405AE" w:rsidRPr="005165DE" w:rsidRDefault="000405AE" w:rsidP="00030A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Podiel ročných splátok NZF a výnosov na bežných príjmoch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D2C61C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0,43%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06E961" w14:textId="77777777" w:rsidR="000405AE" w:rsidRPr="005165DE" w:rsidRDefault="000405AE" w:rsidP="00030A5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5DE">
              <w:rPr>
                <w:rFonts w:ascii="Calibri" w:hAnsi="Calibri" w:cs="Calibri"/>
                <w:b/>
                <w:bCs/>
                <w:sz w:val="20"/>
                <w:szCs w:val="20"/>
              </w:rPr>
              <w:t>1,20%</w:t>
            </w:r>
          </w:p>
        </w:tc>
        <w:tc>
          <w:tcPr>
            <w:tcW w:w="160" w:type="dxa"/>
            <w:vAlign w:val="center"/>
            <w:hideMark/>
          </w:tcPr>
          <w:p w14:paraId="3833F379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  <w:tr w:rsidR="000405AE" w:rsidRPr="005165DE" w14:paraId="3FC7988D" w14:textId="77777777" w:rsidTr="00030A5A">
        <w:trPr>
          <w:trHeight w:val="720"/>
        </w:trPr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E8A5" w14:textId="77777777" w:rsidR="000405AE" w:rsidRPr="005165DE" w:rsidRDefault="000405AE" w:rsidP="00030A5A">
            <w:pPr>
              <w:rPr>
                <w:rFonts w:ascii="Calibri" w:hAnsi="Calibri" w:cs="Calibri"/>
                <w:sz w:val="16"/>
                <w:szCs w:val="16"/>
              </w:rPr>
            </w:pPr>
            <w:r w:rsidRPr="005165DE">
              <w:rPr>
                <w:rFonts w:ascii="Calibri" w:hAnsi="Calibri" w:cs="Calibri"/>
                <w:sz w:val="16"/>
                <w:szCs w:val="16"/>
              </w:rPr>
              <w:t xml:space="preserve">Zdroj: Záverečný účet mestskej časti za rok 2019, Rozpočet </w:t>
            </w:r>
            <w:proofErr w:type="spellStart"/>
            <w:r w:rsidRPr="005165DE">
              <w:rPr>
                <w:rFonts w:ascii="Calibri" w:hAnsi="Calibri" w:cs="Calibri"/>
                <w:sz w:val="16"/>
                <w:szCs w:val="16"/>
              </w:rPr>
              <w:t>mestkej</w:t>
            </w:r>
            <w:proofErr w:type="spellEnd"/>
            <w:r w:rsidRPr="005165DE">
              <w:rPr>
                <w:rFonts w:ascii="Calibri" w:hAnsi="Calibri" w:cs="Calibri"/>
                <w:sz w:val="16"/>
                <w:szCs w:val="16"/>
              </w:rPr>
              <w:t xml:space="preserve"> časti na rok 2020 a jeho 3. úprava  (Uznesenie č.222/2018-2022 z 22.9.2020);  * - výška úveru z ŠFRB k 30.09.2020)</w:t>
            </w:r>
          </w:p>
        </w:tc>
        <w:tc>
          <w:tcPr>
            <w:tcW w:w="160" w:type="dxa"/>
            <w:vAlign w:val="center"/>
            <w:hideMark/>
          </w:tcPr>
          <w:p w14:paraId="2302DC3B" w14:textId="77777777" w:rsidR="000405AE" w:rsidRPr="005165DE" w:rsidRDefault="000405AE" w:rsidP="00030A5A">
            <w:pPr>
              <w:rPr>
                <w:sz w:val="20"/>
                <w:szCs w:val="20"/>
              </w:rPr>
            </w:pPr>
          </w:p>
        </w:tc>
      </w:tr>
    </w:tbl>
    <w:p w14:paraId="6734403F" w14:textId="77777777" w:rsidR="000405AE" w:rsidRDefault="000405AE" w:rsidP="000405AE">
      <w:pPr>
        <w:jc w:val="both"/>
        <w:rPr>
          <w:rFonts w:cstheme="minorHAnsi"/>
        </w:rPr>
      </w:pPr>
    </w:p>
    <w:p w14:paraId="5A91A7B9" w14:textId="77777777" w:rsidR="000405AE" w:rsidRDefault="000405AE" w:rsidP="000405AE">
      <w:pPr>
        <w:jc w:val="both"/>
        <w:rPr>
          <w:sz w:val="23"/>
          <w:szCs w:val="23"/>
        </w:rPr>
      </w:pPr>
      <w:r w:rsidRPr="00913A00">
        <w:rPr>
          <w:rFonts w:cstheme="minorHAnsi"/>
        </w:rPr>
        <w:t xml:space="preserve">Suma ročných splátok návratných zdrojov financovania vrátane úhrady výnosov predstavuje  </w:t>
      </w:r>
      <w:r w:rsidRPr="00913A00">
        <w:rPr>
          <w:rFonts w:cstheme="minorHAnsi"/>
          <w:b/>
          <w:u w:val="single"/>
        </w:rPr>
        <w:t>1,20 % skutočných bežných príjmov predchádzajúceho rozpočtového roka</w:t>
      </w:r>
      <w:r w:rsidRPr="00913A00">
        <w:rPr>
          <w:rFonts w:cstheme="minorHAnsi"/>
        </w:rPr>
        <w:t xml:space="preserve">, </w:t>
      </w:r>
      <w:proofErr w:type="spellStart"/>
      <w:r w:rsidRPr="00913A00">
        <w:rPr>
          <w:rFonts w:cstheme="minorHAnsi"/>
        </w:rPr>
        <w:t>t.j</w:t>
      </w:r>
      <w:proofErr w:type="spellEnd"/>
      <w:r w:rsidRPr="00913A00">
        <w:rPr>
          <w:rFonts w:cstheme="minorHAnsi"/>
        </w:rPr>
        <w:t>. neprekročí 25 % skutočných bežných príjmov predchádzajúceho rozpočtového roka, a to aj v prípade ak by</w:t>
      </w:r>
      <w:r>
        <w:rPr>
          <w:rFonts w:cstheme="minorHAnsi"/>
        </w:rPr>
        <w:t xml:space="preserve"> k</w:t>
      </w:r>
      <w:r w:rsidRPr="00913A00">
        <w:rPr>
          <w:rFonts w:cstheme="minorHAnsi"/>
        </w:rPr>
        <w:t xml:space="preserve"> splácaniu uvedenej výpomoci malo dochádzať už v roku 2021.</w:t>
      </w:r>
      <w:r>
        <w:rPr>
          <w:rFonts w:cstheme="minorHAnsi"/>
        </w:rPr>
        <w:t xml:space="preserve"> Zostatok nesplateného úveru z ŠFRB bol k 30.09.2020 vo výške 23 010,10 €, avšak pre posúdenie ročných splátok úverov sa vychádza z celkovej ročnej splátky, ktorá je vo výške </w:t>
      </w:r>
      <w:r w:rsidRPr="005165DE">
        <w:rPr>
          <w:rFonts w:cstheme="minorHAnsi"/>
        </w:rPr>
        <w:t>31 474,56 €</w:t>
      </w:r>
      <w:r w:rsidRPr="00913A0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0DC4132" w14:textId="77777777" w:rsidR="000405AE" w:rsidRPr="00913A00" w:rsidRDefault="000405AE" w:rsidP="000405AE">
      <w:pPr>
        <w:pStyle w:val="Odsekzoznamu"/>
        <w:numPr>
          <w:ilvl w:val="0"/>
          <w:numId w:val="19"/>
        </w:numPr>
        <w:spacing w:after="160" w:line="276" w:lineRule="auto"/>
        <w:rPr>
          <w:b/>
          <w:bCs/>
          <w:color w:val="5B9BD5" w:themeColor="accent1"/>
          <w:sz w:val="28"/>
          <w:szCs w:val="28"/>
        </w:rPr>
      </w:pPr>
      <w:r>
        <w:rPr>
          <w:b/>
          <w:bCs/>
          <w:color w:val="5B9BD5" w:themeColor="accent1"/>
          <w:sz w:val="28"/>
          <w:szCs w:val="28"/>
        </w:rPr>
        <w:t xml:space="preserve"> ZÁVEREČNÉ S</w:t>
      </w:r>
      <w:r w:rsidRPr="00913A00">
        <w:rPr>
          <w:b/>
          <w:bCs/>
          <w:color w:val="5B9BD5" w:themeColor="accent1"/>
          <w:sz w:val="28"/>
          <w:szCs w:val="28"/>
        </w:rPr>
        <w:t>TANOVISKO</w:t>
      </w:r>
    </w:p>
    <w:p w14:paraId="3CBDDE9A" w14:textId="77777777" w:rsidR="000405AE" w:rsidRPr="005F7328" w:rsidRDefault="000405AE" w:rsidP="000405AE">
      <w:pPr>
        <w:jc w:val="both"/>
        <w:rPr>
          <w:b/>
          <w:bCs/>
          <w:sz w:val="23"/>
          <w:szCs w:val="23"/>
          <w:u w:val="single"/>
        </w:rPr>
      </w:pPr>
      <w:r w:rsidRPr="00913A00">
        <w:rPr>
          <w:b/>
          <w:bCs/>
          <w:u w:val="single"/>
        </w:rPr>
        <w:lastRenderedPageBreak/>
        <w:t>Na základe predchádzajúcich výpočtov a údajov o aktuálnom stave dlhu mestskej časti</w:t>
      </w:r>
      <w:r>
        <w:rPr>
          <w:b/>
          <w:bCs/>
          <w:u w:val="single"/>
        </w:rPr>
        <w:t xml:space="preserve"> a posúdení výšky ročných splátok návratných zdrojov financovania,</w:t>
      </w:r>
      <w:r w:rsidRPr="00913A00">
        <w:rPr>
          <w:b/>
          <w:bCs/>
          <w:u w:val="single"/>
        </w:rPr>
        <w:t xml:space="preserve"> konštatujem, že podmienky pre prijatie návratnej finančnej výpomoci vo výške 227 824€ sú v zmysle zákona č. 583/2004 </w:t>
      </w:r>
      <w:proofErr w:type="spellStart"/>
      <w:r w:rsidRPr="00913A00">
        <w:rPr>
          <w:b/>
          <w:bCs/>
          <w:u w:val="single"/>
        </w:rPr>
        <w:t>Z.z</w:t>
      </w:r>
      <w:proofErr w:type="spellEnd"/>
      <w:r w:rsidRPr="00913A00">
        <w:rPr>
          <w:b/>
          <w:bCs/>
          <w:u w:val="single"/>
        </w:rPr>
        <w:t>. o rozpočtových pravidlách územnej samosprávy dodržané</w:t>
      </w:r>
      <w:r>
        <w:rPr>
          <w:b/>
          <w:bCs/>
          <w:u w:val="single"/>
        </w:rPr>
        <w:t>.</w:t>
      </w:r>
      <w:r>
        <w:rPr>
          <w:sz w:val="23"/>
          <w:szCs w:val="23"/>
        </w:rPr>
        <w:t xml:space="preserve"> V tejto súvislosti upozorňujem na nevyhnutnosť zostavenia vyrovnaného rozpočtu mestskej časti  v budúcich rozpočtových rokoch, na dodržiavanie rozpočtových pravidiel pri čerpaní rozpočtu, na opatrnosť pri hospodárení s rozpočtovými prostriedkami a na kontrolu plnenia podmienok, ktoré mestskej časti vyplývajú a budú vyplývať zo zákona č. 583/2004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a zo zmluvných podmienok. Pri  použití návratných zdrojov financovania, obzvlášť treba dbať na dodržanie zásad hospodárnosti, efektívnosti a účinnosti. </w:t>
      </w:r>
    </w:p>
    <w:p w14:paraId="5B117FB4" w14:textId="77777777" w:rsidR="000405AE" w:rsidRPr="001E6FF0" w:rsidRDefault="000405AE" w:rsidP="000405AE">
      <w:pPr>
        <w:tabs>
          <w:tab w:val="right" w:pos="-5040"/>
        </w:tabs>
        <w:ind w:left="992"/>
        <w:rPr>
          <w:rFonts w:cstheme="minorHAnsi"/>
          <w:color w:val="000000"/>
        </w:rPr>
      </w:pPr>
    </w:p>
    <w:p w14:paraId="495CFA5A" w14:textId="77777777" w:rsidR="000405AE" w:rsidRPr="001E6FF0" w:rsidRDefault="000405AE" w:rsidP="000405AE">
      <w:pPr>
        <w:spacing w:line="264" w:lineRule="auto"/>
        <w:jc w:val="both"/>
        <w:rPr>
          <w:rFonts w:cstheme="minorHAnsi"/>
        </w:rPr>
      </w:pPr>
    </w:p>
    <w:p w14:paraId="0EFD1FFF" w14:textId="77777777" w:rsidR="000405AE" w:rsidRPr="001E6FF0" w:rsidRDefault="000405AE" w:rsidP="000405AE">
      <w:pPr>
        <w:pStyle w:val="Style14"/>
        <w:spacing w:after="220" w:line="264" w:lineRule="auto"/>
        <w:ind w:firstLine="70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Bratislave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15</w:t>
      </w: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10</w:t>
      </w: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.2020</w:t>
      </w:r>
    </w:p>
    <w:p w14:paraId="1FC13030" w14:textId="77777777" w:rsidR="000405AE" w:rsidRPr="001E6FF0" w:rsidRDefault="000405AE" w:rsidP="000405AE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Mgr. Ján </w:t>
      </w:r>
      <w:proofErr w:type="spellStart"/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Komara</w:t>
      </w:r>
      <w:proofErr w:type="spellEnd"/>
    </w:p>
    <w:p w14:paraId="51625DE7" w14:textId="77777777" w:rsidR="000405AE" w:rsidRPr="008D5A42" w:rsidRDefault="000405AE" w:rsidP="000405AE">
      <w:pPr>
        <w:pStyle w:val="Style14"/>
        <w:spacing w:after="0" w:line="264" w:lineRule="auto"/>
        <w:ind w:left="6560" w:hanging="180"/>
      </w:pPr>
      <w:r w:rsidRPr="001E6FF0">
        <w:rPr>
          <w:rFonts w:asciiTheme="minorHAnsi" w:eastAsia="Times New Roman" w:hAnsiTheme="minorHAnsi" w:cstheme="minorHAnsi"/>
          <w:color w:val="000000"/>
          <w:sz w:val="22"/>
          <w:szCs w:val="22"/>
        </w:rPr>
        <w:t>miestny kontroló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</w:p>
    <w:p w14:paraId="6DF9F04B" w14:textId="288454B9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B31133" w14:textId="2BA7C31F" w:rsidR="000405A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F53DD3" w14:textId="77777777" w:rsidR="000405AE" w:rsidRPr="004A6D4E" w:rsidRDefault="000405AE" w:rsidP="00970A15">
      <w:pPr>
        <w:jc w:val="both"/>
        <w:rPr>
          <w:rFonts w:ascii="Arial" w:hAnsi="Arial" w:cs="Arial"/>
          <w:sz w:val="22"/>
          <w:szCs w:val="22"/>
          <w:u w:val="single"/>
        </w:rPr>
      </w:pPr>
    </w:p>
    <w:sectPr w:rsidR="000405AE" w:rsidRPr="004A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C02071"/>
    <w:multiLevelType w:val="hybridMultilevel"/>
    <w:tmpl w:val="36D88352"/>
    <w:lvl w:ilvl="0" w:tplc="64B85E18">
      <w:start w:val="3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2951788"/>
    <w:multiLevelType w:val="hybridMultilevel"/>
    <w:tmpl w:val="A65E13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2E4"/>
    <w:multiLevelType w:val="hybridMultilevel"/>
    <w:tmpl w:val="8C74C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0AEB"/>
    <w:multiLevelType w:val="hybridMultilevel"/>
    <w:tmpl w:val="7A2EA462"/>
    <w:lvl w:ilvl="0" w:tplc="BE2089A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235D"/>
    <w:multiLevelType w:val="hybridMultilevel"/>
    <w:tmpl w:val="D9089182"/>
    <w:lvl w:ilvl="0" w:tplc="9AB0D9E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822"/>
    <w:multiLevelType w:val="hybridMultilevel"/>
    <w:tmpl w:val="DBC219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F318E"/>
    <w:multiLevelType w:val="hybridMultilevel"/>
    <w:tmpl w:val="080626E0"/>
    <w:lvl w:ilvl="0" w:tplc="27149516">
      <w:start w:val="3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265243A6"/>
    <w:multiLevelType w:val="hybridMultilevel"/>
    <w:tmpl w:val="3E0A77DC"/>
    <w:lvl w:ilvl="0" w:tplc="4732C99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929E4"/>
    <w:multiLevelType w:val="hybridMultilevel"/>
    <w:tmpl w:val="050041F8"/>
    <w:lvl w:ilvl="0" w:tplc="F786863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E0E"/>
    <w:multiLevelType w:val="hybridMultilevel"/>
    <w:tmpl w:val="A65E13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D80"/>
    <w:multiLevelType w:val="hybridMultilevel"/>
    <w:tmpl w:val="91500BDA"/>
    <w:lvl w:ilvl="0" w:tplc="D556DFFE">
      <w:start w:val="3"/>
      <w:numFmt w:val="bullet"/>
      <w:lvlText w:val="-"/>
      <w:lvlJc w:val="left"/>
      <w:pPr>
        <w:ind w:left="60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16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7"/>
  </w:num>
  <w:num w:numId="8">
    <w:abstractNumId w:val="18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01901"/>
    <w:rsid w:val="000405AE"/>
    <w:rsid w:val="00134E9C"/>
    <w:rsid w:val="00136843"/>
    <w:rsid w:val="001944CE"/>
    <w:rsid w:val="0025065D"/>
    <w:rsid w:val="002616F8"/>
    <w:rsid w:val="002E73DB"/>
    <w:rsid w:val="004A6D4E"/>
    <w:rsid w:val="00560DD4"/>
    <w:rsid w:val="0060764C"/>
    <w:rsid w:val="00657028"/>
    <w:rsid w:val="006D2AD1"/>
    <w:rsid w:val="007E160B"/>
    <w:rsid w:val="008D5B6F"/>
    <w:rsid w:val="009400DC"/>
    <w:rsid w:val="00970A15"/>
    <w:rsid w:val="00A61A95"/>
    <w:rsid w:val="00A8663E"/>
    <w:rsid w:val="00BA5235"/>
    <w:rsid w:val="00C16BE0"/>
    <w:rsid w:val="00CB1F1A"/>
    <w:rsid w:val="00D933F6"/>
    <w:rsid w:val="00DC214E"/>
    <w:rsid w:val="00E13B84"/>
    <w:rsid w:val="00EC3BD4"/>
    <w:rsid w:val="00EF2BB8"/>
    <w:rsid w:val="00FA4C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D9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  <w:style w:type="paragraph" w:customStyle="1" w:styleId="text-justify">
    <w:name w:val="text-justify"/>
    <w:basedOn w:val="Normlny"/>
    <w:rsid w:val="007E160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7E160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E160B"/>
    <w:rPr>
      <w:color w:val="0000FF"/>
      <w:u w:val="single"/>
    </w:rPr>
  </w:style>
  <w:style w:type="character" w:customStyle="1" w:styleId="CharStyle10">
    <w:name w:val="Char Style 10"/>
    <w:basedOn w:val="Predvolenpsmoodseku"/>
    <w:link w:val="Style9"/>
    <w:rsid w:val="000405AE"/>
  </w:style>
  <w:style w:type="paragraph" w:customStyle="1" w:styleId="Style9">
    <w:name w:val="Style 9"/>
    <w:basedOn w:val="Normlny"/>
    <w:link w:val="CharStyle10"/>
    <w:rsid w:val="000405AE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5">
    <w:name w:val="Char Style 15"/>
    <w:basedOn w:val="Predvolenpsmoodseku"/>
    <w:link w:val="Style14"/>
    <w:rsid w:val="000405AE"/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y"/>
    <w:link w:val="CharStyle15"/>
    <w:rsid w:val="000405AE"/>
    <w:pPr>
      <w:widowControl w:val="0"/>
      <w:spacing w:after="120" w:line="276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Default">
    <w:name w:val="Default"/>
    <w:rsid w:val="0004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6</cp:revision>
  <cp:lastPrinted>2020-10-22T08:37:00Z</cp:lastPrinted>
  <dcterms:created xsi:type="dcterms:W3CDTF">2020-10-16T07:13:00Z</dcterms:created>
  <dcterms:modified xsi:type="dcterms:W3CDTF">2020-10-22T08:37:00Z</dcterms:modified>
</cp:coreProperties>
</file>