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81" w:rsidRDefault="00904181" w:rsidP="00904181">
      <w:pPr>
        <w:spacing w:line="360" w:lineRule="auto"/>
        <w:jc w:val="center"/>
        <w:rPr>
          <w:rFonts w:ascii="Arial" w:hAnsi="Arial" w:cs="Arial"/>
          <w:b/>
          <w:bCs/>
          <w:sz w:val="26"/>
          <w:szCs w:val="26"/>
        </w:rPr>
      </w:pPr>
      <w:bookmarkStart w:id="0" w:name="_GoBack"/>
      <w:bookmarkEnd w:id="0"/>
      <w:r>
        <w:rPr>
          <w:rFonts w:ascii="Arial" w:hAnsi="Arial" w:cs="Arial"/>
          <w:b/>
          <w:bCs/>
          <w:sz w:val="26"/>
          <w:szCs w:val="26"/>
        </w:rPr>
        <w:t xml:space="preserve">I n f o r m á c i a </w:t>
      </w:r>
    </w:p>
    <w:p w:rsidR="00904181" w:rsidRDefault="00904181" w:rsidP="00904181">
      <w:pPr>
        <w:spacing w:line="360" w:lineRule="auto"/>
        <w:jc w:val="center"/>
        <w:rPr>
          <w:rFonts w:ascii="Arial" w:hAnsi="Arial" w:cs="Arial"/>
          <w:b/>
          <w:bCs/>
          <w:sz w:val="22"/>
          <w:szCs w:val="22"/>
        </w:rPr>
      </w:pPr>
      <w:r>
        <w:rPr>
          <w:rFonts w:ascii="Arial" w:hAnsi="Arial" w:cs="Arial"/>
          <w:b/>
          <w:bCs/>
          <w:sz w:val="22"/>
          <w:szCs w:val="22"/>
        </w:rPr>
        <w:t xml:space="preserve">o vybavení a stave detských ihrísk na  území MČ, </w:t>
      </w:r>
    </w:p>
    <w:p w:rsidR="00904181" w:rsidRDefault="00904181" w:rsidP="00904181">
      <w:pPr>
        <w:spacing w:line="360" w:lineRule="auto"/>
        <w:jc w:val="center"/>
        <w:rPr>
          <w:rFonts w:ascii="Arial" w:hAnsi="Arial" w:cs="Arial"/>
          <w:b/>
          <w:bCs/>
          <w:sz w:val="22"/>
          <w:szCs w:val="22"/>
        </w:rPr>
      </w:pPr>
      <w:r>
        <w:rPr>
          <w:rFonts w:ascii="Arial" w:hAnsi="Arial" w:cs="Arial"/>
          <w:b/>
          <w:bCs/>
          <w:sz w:val="22"/>
          <w:szCs w:val="22"/>
        </w:rPr>
        <w:t>a požiadavky na opravu a </w:t>
      </w:r>
      <w:proofErr w:type="spellStart"/>
      <w:r>
        <w:rPr>
          <w:rFonts w:ascii="Arial" w:hAnsi="Arial" w:cs="Arial"/>
          <w:b/>
          <w:bCs/>
          <w:sz w:val="22"/>
          <w:szCs w:val="22"/>
        </w:rPr>
        <w:t>dovybavenie</w:t>
      </w:r>
      <w:proofErr w:type="spellEnd"/>
      <w:r>
        <w:rPr>
          <w:rFonts w:ascii="Arial" w:hAnsi="Arial" w:cs="Arial"/>
          <w:b/>
          <w:bCs/>
          <w:sz w:val="22"/>
          <w:szCs w:val="22"/>
        </w:rPr>
        <w:t xml:space="preserve"> detských ihrísk.</w:t>
      </w:r>
    </w:p>
    <w:p w:rsidR="00904181" w:rsidRDefault="00904181" w:rsidP="00904181">
      <w:pPr>
        <w:jc w:val="center"/>
        <w:rPr>
          <w:rFonts w:ascii="Arial" w:hAnsi="Arial" w:cs="Arial"/>
          <w:b/>
          <w:bCs/>
        </w:rPr>
      </w:pPr>
      <w:r>
        <w:rPr>
          <w:rFonts w:ascii="Arial" w:hAnsi="Arial" w:cs="Arial"/>
          <w:b/>
          <w:bCs/>
        </w:rPr>
        <w:t>___________________________________________________________________</w:t>
      </w:r>
    </w:p>
    <w:p w:rsidR="00904181" w:rsidRDefault="00904181" w:rsidP="00904181">
      <w:pPr>
        <w:jc w:val="both"/>
        <w:rPr>
          <w:rFonts w:ascii="Arial" w:hAnsi="Arial" w:cs="Arial"/>
          <w:b/>
          <w:bCs/>
        </w:rPr>
      </w:pPr>
    </w:p>
    <w:p w:rsidR="00904181" w:rsidRDefault="00904181" w:rsidP="00904181">
      <w:pPr>
        <w:jc w:val="both"/>
        <w:rPr>
          <w:rFonts w:ascii="Arial" w:hAnsi="Arial" w:cs="Arial"/>
          <w:b/>
          <w:bCs/>
        </w:rPr>
      </w:pPr>
    </w:p>
    <w:p w:rsidR="00904181" w:rsidRDefault="00904181" w:rsidP="00904181">
      <w:pPr>
        <w:spacing w:line="276" w:lineRule="auto"/>
        <w:ind w:firstLine="709"/>
        <w:jc w:val="both"/>
        <w:rPr>
          <w:rFonts w:ascii="Arial" w:hAnsi="Arial" w:cs="Arial"/>
          <w:sz w:val="22"/>
          <w:szCs w:val="22"/>
        </w:rPr>
      </w:pPr>
      <w:r>
        <w:rPr>
          <w:rFonts w:ascii="Arial" w:hAnsi="Arial" w:cs="Arial"/>
          <w:sz w:val="22"/>
          <w:szCs w:val="22"/>
        </w:rPr>
        <w:t>Ostatný raz bol materiál týkajúci sa detských ihrísk predložený na rokovanie miestneho zastupiteľstva Mestskej časti Bratislava – Podunajské Biskupice v mesiaci jún 2018. S prihliadnutím na neustále sa sprísňujúce požiadavky na prevádzkovanie a vybavenie detských ihrísk  sa tejto problematike venujeme, kde v tomto roku bude vykonaná hlavná  ročná kontrola vybraných detských ihrísk, zameraná na bezpečnosť existujúcich hracích prvkov, funkčnosť prvokov a pod.. Okrem hlavnej ročnej kontroly detských ihrísk, chceme opätovne vybaviť vybrané detské ihriská o nové prvky rôznych vekových skupín.</w:t>
      </w:r>
    </w:p>
    <w:p w:rsidR="00904181" w:rsidRDefault="00904181" w:rsidP="00904181">
      <w:pPr>
        <w:spacing w:line="276" w:lineRule="auto"/>
        <w:ind w:firstLine="708"/>
        <w:jc w:val="both"/>
        <w:rPr>
          <w:rFonts w:ascii="Arial" w:hAnsi="Arial" w:cs="Arial"/>
          <w:sz w:val="22"/>
          <w:szCs w:val="22"/>
        </w:rPr>
      </w:pPr>
      <w:r>
        <w:rPr>
          <w:rFonts w:ascii="Arial" w:hAnsi="Arial" w:cs="Arial"/>
          <w:sz w:val="22"/>
          <w:szCs w:val="22"/>
        </w:rPr>
        <w:t xml:space="preserve">Toho času sa nachádza na území MČ celkom 20 detských ihrísk, kde postupne dochádzalo k obnove a modernizácii v zmysle požiadaviek STN EN 1176 a STN EN 1177 platné od 01.05.2004, </w:t>
      </w:r>
      <w:proofErr w:type="spellStart"/>
      <w:r>
        <w:rPr>
          <w:rFonts w:ascii="Arial" w:hAnsi="Arial" w:cs="Arial"/>
          <w:sz w:val="22"/>
          <w:szCs w:val="22"/>
        </w:rPr>
        <w:t>t.j</w:t>
      </w:r>
      <w:proofErr w:type="spellEnd"/>
      <w:r>
        <w:rPr>
          <w:rFonts w:ascii="Arial" w:hAnsi="Arial" w:cs="Arial"/>
          <w:sz w:val="22"/>
          <w:szCs w:val="22"/>
        </w:rPr>
        <w:t xml:space="preserve">. od vstupu Slovenska do EÚ a účinné od roku 2010. </w:t>
      </w:r>
    </w:p>
    <w:p w:rsidR="00904181" w:rsidRDefault="00904181" w:rsidP="00904181">
      <w:pPr>
        <w:spacing w:line="276" w:lineRule="auto"/>
        <w:ind w:firstLine="708"/>
        <w:jc w:val="both"/>
        <w:rPr>
          <w:rFonts w:ascii="Arial" w:hAnsi="Arial" w:cs="Arial"/>
          <w:sz w:val="22"/>
          <w:szCs w:val="22"/>
        </w:rPr>
      </w:pPr>
    </w:p>
    <w:p w:rsidR="00904181" w:rsidRDefault="00904181" w:rsidP="00904181">
      <w:pPr>
        <w:spacing w:line="276" w:lineRule="auto"/>
        <w:jc w:val="both"/>
        <w:rPr>
          <w:rFonts w:ascii="Arial" w:hAnsi="Arial" w:cs="Arial"/>
          <w:sz w:val="22"/>
          <w:szCs w:val="22"/>
        </w:rPr>
      </w:pPr>
      <w:r>
        <w:rPr>
          <w:rFonts w:ascii="Arial" w:hAnsi="Arial" w:cs="Arial"/>
          <w:sz w:val="22"/>
          <w:szCs w:val="22"/>
        </w:rPr>
        <w:t>V súčasnosti sú funkčné detské ihriská rozmiestnené nasledovne:</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Baltská pri hokejbalovom ihrisku</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 xml:space="preserve">Baltská od </w:t>
      </w:r>
      <w:proofErr w:type="spellStart"/>
      <w:r>
        <w:rPr>
          <w:rFonts w:ascii="Arial" w:hAnsi="Arial" w:cs="Arial"/>
          <w:sz w:val="22"/>
          <w:szCs w:val="22"/>
        </w:rPr>
        <w:t>Vrakunskej</w:t>
      </w:r>
      <w:proofErr w:type="spellEnd"/>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 xml:space="preserve">Bieloruská </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 xml:space="preserve">Bodrocká – Hronská vo </w:t>
      </w:r>
      <w:proofErr w:type="spellStart"/>
      <w:r>
        <w:rPr>
          <w:rFonts w:ascii="Arial" w:hAnsi="Arial" w:cs="Arial"/>
          <w:sz w:val="22"/>
          <w:szCs w:val="22"/>
        </w:rPr>
        <w:t>vnútrobloku</w:t>
      </w:r>
      <w:proofErr w:type="spellEnd"/>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 xml:space="preserve">Dudvážska vo </w:t>
      </w:r>
      <w:proofErr w:type="spellStart"/>
      <w:r>
        <w:rPr>
          <w:rFonts w:ascii="Arial" w:hAnsi="Arial" w:cs="Arial"/>
          <w:sz w:val="22"/>
          <w:szCs w:val="22"/>
        </w:rPr>
        <w:t>vnútrobloku</w:t>
      </w:r>
      <w:proofErr w:type="spellEnd"/>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 xml:space="preserve">Estónska </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Ipeľská (3 x medzi bytovými domami)</w:t>
      </w:r>
    </w:p>
    <w:p w:rsidR="00904181" w:rsidRDefault="00904181" w:rsidP="00904181">
      <w:pPr>
        <w:numPr>
          <w:ilvl w:val="0"/>
          <w:numId w:val="1"/>
        </w:numPr>
        <w:spacing w:line="276" w:lineRule="auto"/>
        <w:jc w:val="both"/>
        <w:rPr>
          <w:rFonts w:ascii="Arial" w:hAnsi="Arial" w:cs="Arial"/>
          <w:sz w:val="22"/>
          <w:szCs w:val="22"/>
        </w:rPr>
      </w:pPr>
      <w:proofErr w:type="spellStart"/>
      <w:r>
        <w:rPr>
          <w:rFonts w:ascii="Arial" w:hAnsi="Arial" w:cs="Arial"/>
          <w:sz w:val="22"/>
          <w:szCs w:val="22"/>
        </w:rPr>
        <w:t>Korytnícka</w:t>
      </w:r>
      <w:proofErr w:type="spellEnd"/>
      <w:r>
        <w:rPr>
          <w:rFonts w:ascii="Arial" w:hAnsi="Arial" w:cs="Arial"/>
          <w:sz w:val="22"/>
          <w:szCs w:val="22"/>
        </w:rPr>
        <w:t xml:space="preserve"> od </w:t>
      </w:r>
      <w:proofErr w:type="spellStart"/>
      <w:r>
        <w:rPr>
          <w:rFonts w:ascii="Arial" w:hAnsi="Arial" w:cs="Arial"/>
          <w:sz w:val="22"/>
          <w:szCs w:val="22"/>
        </w:rPr>
        <w:t>Máchovej</w:t>
      </w:r>
      <w:proofErr w:type="spellEnd"/>
    </w:p>
    <w:p w:rsidR="00904181" w:rsidRDefault="00904181" w:rsidP="00904181">
      <w:pPr>
        <w:numPr>
          <w:ilvl w:val="0"/>
          <w:numId w:val="1"/>
        </w:numPr>
        <w:spacing w:line="276" w:lineRule="auto"/>
        <w:jc w:val="both"/>
        <w:rPr>
          <w:rFonts w:ascii="Arial" w:hAnsi="Arial" w:cs="Arial"/>
          <w:sz w:val="22"/>
          <w:szCs w:val="22"/>
        </w:rPr>
      </w:pPr>
      <w:proofErr w:type="spellStart"/>
      <w:r>
        <w:rPr>
          <w:rFonts w:ascii="Arial" w:hAnsi="Arial" w:cs="Arial"/>
          <w:sz w:val="22"/>
          <w:szCs w:val="22"/>
        </w:rPr>
        <w:t>Korytnícka</w:t>
      </w:r>
      <w:proofErr w:type="spellEnd"/>
      <w:r>
        <w:rPr>
          <w:rFonts w:ascii="Arial" w:hAnsi="Arial" w:cs="Arial"/>
          <w:sz w:val="22"/>
          <w:szCs w:val="22"/>
        </w:rPr>
        <w:t xml:space="preserve"> od Učiteľskej</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Latorická pri V drogérii</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Latorická v areáli knižnice</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 xml:space="preserve">Latorická – Hornádska vo </w:t>
      </w:r>
      <w:proofErr w:type="spellStart"/>
      <w:r>
        <w:rPr>
          <w:rFonts w:ascii="Arial" w:hAnsi="Arial" w:cs="Arial"/>
          <w:sz w:val="22"/>
          <w:szCs w:val="22"/>
        </w:rPr>
        <w:t>vnútrobloku</w:t>
      </w:r>
      <w:proofErr w:type="spellEnd"/>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Lotyšská</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 xml:space="preserve">Podzáhradná za Billou </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 xml:space="preserve">Podzáhradná  pri Pošte  </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Padlých hrdinov</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Učiteľská</w:t>
      </w:r>
    </w:p>
    <w:p w:rsidR="00904181" w:rsidRDefault="00904181" w:rsidP="00904181">
      <w:pPr>
        <w:numPr>
          <w:ilvl w:val="0"/>
          <w:numId w:val="1"/>
        </w:numPr>
        <w:spacing w:line="276" w:lineRule="auto"/>
        <w:jc w:val="both"/>
        <w:rPr>
          <w:rFonts w:ascii="Arial" w:hAnsi="Arial" w:cs="Arial"/>
          <w:sz w:val="22"/>
          <w:szCs w:val="22"/>
        </w:rPr>
      </w:pPr>
      <w:r>
        <w:rPr>
          <w:rFonts w:ascii="Arial" w:hAnsi="Arial" w:cs="Arial"/>
          <w:sz w:val="22"/>
          <w:szCs w:val="22"/>
        </w:rPr>
        <w:t>OC Jantár pri vchode do ZŠ Bieloruská</w:t>
      </w:r>
    </w:p>
    <w:p w:rsidR="00904181" w:rsidRDefault="00904181" w:rsidP="00904181">
      <w:pPr>
        <w:spacing w:line="276" w:lineRule="auto"/>
        <w:ind w:left="360"/>
        <w:jc w:val="both"/>
        <w:rPr>
          <w:rFonts w:ascii="Arial" w:hAnsi="Arial" w:cs="Arial"/>
          <w:sz w:val="22"/>
          <w:szCs w:val="22"/>
        </w:rPr>
      </w:pPr>
    </w:p>
    <w:p w:rsidR="00904181" w:rsidRDefault="00904181" w:rsidP="00904181">
      <w:pPr>
        <w:pStyle w:val="Zkladntext"/>
        <w:spacing w:line="276" w:lineRule="auto"/>
        <w:ind w:firstLine="708"/>
      </w:pPr>
      <w:r>
        <w:t>V os</w:t>
      </w:r>
      <w:r w:rsidR="00E704B3">
        <w:t>t</w:t>
      </w:r>
      <w:r>
        <w:t xml:space="preserve">atných rokoch sa detské ihriská dopĺňali o rôzne hracie prvky, ako väčšie, resp. menšie zostavy hradov, hojdačky s možnosťou aj pre deti do troch rokov, hojdačky pre deti s mamičkami ako v areáli na Latorickej, rôzne fitnes prvky, </w:t>
      </w:r>
      <w:proofErr w:type="spellStart"/>
      <w:r>
        <w:t>workoutové</w:t>
      </w:r>
      <w:proofErr w:type="spellEnd"/>
      <w:r>
        <w:t xml:space="preserve"> prvky, </w:t>
      </w:r>
      <w:proofErr w:type="spellStart"/>
      <w:r>
        <w:t>petangové</w:t>
      </w:r>
      <w:proofErr w:type="spellEnd"/>
      <w:r>
        <w:t xml:space="preserve"> ihrisko a mnohé iné hracie prvky pre rôzne vekové skupiny obyvateľov. </w:t>
      </w:r>
    </w:p>
    <w:p w:rsidR="00904181" w:rsidRDefault="00904181" w:rsidP="00904181">
      <w:pPr>
        <w:pStyle w:val="Zkladntext"/>
        <w:spacing w:line="276" w:lineRule="auto"/>
        <w:ind w:firstLine="708"/>
      </w:pPr>
      <w:r>
        <w:t>V rozpočte na rok 2019 je na bežnú údržbu detských ihrísk vyčlenených 12</w:t>
      </w:r>
      <w:r w:rsidRPr="0060245D">
        <w:t xml:space="preserve"> 000,-</w:t>
      </w:r>
      <w:r w:rsidRPr="00D82D36">
        <w:t xml:space="preserve"> €.</w:t>
      </w:r>
      <w:r>
        <w:t xml:space="preserve"> V jarných mesiacoch tohto roku boli začaté práce okolo detských ihrísk v správe mestskej časti, kde sme dodávateľsky zabezpečili vyčistenie plôch detských ihrísk, výmenu piesku na pieskoviskách (Korytnická, Baltská, Podzáhradná, Lotyšská, Bieloruská, Estónska), oprava oplotenia na detskom ihrisku na Lotyšskej ul., lepenie dopadovej plochy z gumenej dlažby na detskom ihrisku na Estónskej ul.. V riešení je oprava poškodených fitnes prvkov, ako </w:t>
      </w:r>
      <w:proofErr w:type="spellStart"/>
      <w:r>
        <w:t>orbitrek</w:t>
      </w:r>
      <w:proofErr w:type="spellEnd"/>
      <w:r>
        <w:t xml:space="preserve"> </w:t>
      </w:r>
      <w:r w:rsidR="00E704B3">
        <w:t>na</w:t>
      </w:r>
      <w:r>
        <w:t xml:space="preserve"> DI Bieloruská, kde došlo k opotrebovaniu materiálu a prvok z bezpečnostných dôvodov </w:t>
      </w:r>
      <w:r>
        <w:lastRenderedPageBreak/>
        <w:t>bol demontovaný, lanové zostavy hracích prvkov, ktoré sú často poškodené vandalmi a nie je možné ľanový prvok opraviť v mieste poškodenia, ale je nutné vymeniť celý lanový prvok, čo v neposlednom rade zaťažuje rozpočet určený pre detské ihriská.</w:t>
      </w:r>
    </w:p>
    <w:p w:rsidR="00904181" w:rsidRDefault="00904181" w:rsidP="00904181">
      <w:pPr>
        <w:pStyle w:val="Zkladntext"/>
        <w:spacing w:line="276" w:lineRule="auto"/>
        <w:ind w:firstLine="708"/>
      </w:pPr>
      <w:r>
        <w:t xml:space="preserve">V apríli 2019 Miestne zastupiteľstvo schválilo použitie finančných prostriedkov z Rezervného fondu Mestskej časti Bratislava - Podunajské Biskupice na rekonštrukciu a modernizáciu detských ihrísk v celkovej  </w:t>
      </w:r>
      <w:r w:rsidRPr="00C21F6E">
        <w:t>výške 20 000 Eur</w:t>
      </w:r>
      <w:r>
        <w:t xml:space="preserve">. </w:t>
      </w:r>
    </w:p>
    <w:p w:rsidR="00904181" w:rsidRDefault="00904181" w:rsidP="00904181">
      <w:pPr>
        <w:spacing w:line="276" w:lineRule="auto"/>
        <w:ind w:firstLine="708"/>
        <w:jc w:val="both"/>
        <w:rPr>
          <w:rFonts w:ascii="Arial" w:hAnsi="Arial" w:cs="Arial"/>
          <w:sz w:val="22"/>
          <w:szCs w:val="22"/>
        </w:rPr>
      </w:pPr>
      <w:r>
        <w:rPr>
          <w:rFonts w:ascii="Arial" w:hAnsi="Arial" w:cs="Arial"/>
          <w:sz w:val="22"/>
          <w:szCs w:val="22"/>
        </w:rPr>
        <w:t xml:space="preserve">Je všeobecná požiadavka na osadenie malých hradov na detské ihriská Latorická a Korytnická, kde pôvodné hrady boli z bezpečnostných dôvodov odstránené. </w:t>
      </w:r>
    </w:p>
    <w:p w:rsidR="00904181" w:rsidRDefault="00904181" w:rsidP="00904181">
      <w:pPr>
        <w:spacing w:line="276" w:lineRule="auto"/>
        <w:ind w:firstLine="709"/>
        <w:jc w:val="both"/>
        <w:rPr>
          <w:rFonts w:ascii="Arial" w:hAnsi="Arial" w:cs="Arial"/>
          <w:sz w:val="22"/>
          <w:szCs w:val="22"/>
        </w:rPr>
      </w:pPr>
      <w:r>
        <w:rPr>
          <w:rFonts w:ascii="Arial" w:hAnsi="Arial" w:cs="Arial"/>
          <w:sz w:val="22"/>
          <w:szCs w:val="22"/>
        </w:rPr>
        <w:t xml:space="preserve">MČ Bratislava – Podunajské Biskupice bude klásť dôraz pri výbere jednotlivých prvkov, ako aj pri verejnom obstarávaní na </w:t>
      </w:r>
      <w:proofErr w:type="spellStart"/>
      <w:r>
        <w:rPr>
          <w:rFonts w:ascii="Arial" w:hAnsi="Arial" w:cs="Arial"/>
          <w:sz w:val="22"/>
          <w:szCs w:val="22"/>
        </w:rPr>
        <w:t>bezúdržbové</w:t>
      </w:r>
      <w:proofErr w:type="spellEnd"/>
      <w:r>
        <w:rPr>
          <w:rFonts w:ascii="Arial" w:hAnsi="Arial" w:cs="Arial"/>
          <w:sz w:val="22"/>
          <w:szCs w:val="22"/>
        </w:rPr>
        <w:t xml:space="preserve"> moderné hracie prvky, ktoré sa osvedčili, či už z hľadiska životnosti, alebo vandalizmu (menšie resp. žiadne poškodenia, ako pri drevených hradoch a pod.).</w:t>
      </w:r>
    </w:p>
    <w:p w:rsidR="00904181" w:rsidRDefault="00904181" w:rsidP="00904181">
      <w:pPr>
        <w:spacing w:line="276" w:lineRule="auto"/>
        <w:ind w:firstLine="708"/>
        <w:jc w:val="both"/>
        <w:rPr>
          <w:rFonts w:ascii="Arial" w:hAnsi="Arial" w:cs="Arial"/>
          <w:sz w:val="22"/>
          <w:szCs w:val="22"/>
        </w:rPr>
      </w:pPr>
      <w:r>
        <w:rPr>
          <w:rFonts w:ascii="Arial" w:hAnsi="Arial" w:cs="Arial"/>
          <w:sz w:val="22"/>
          <w:szCs w:val="22"/>
        </w:rPr>
        <w:t xml:space="preserve">Otvorenou otázkou ostáva naďalej oplotenie detských, čo je prirodzenou požiadavkou na moderné ihrisko, avšak ostatné roky ukázali, že častokrát dochádza k poškodzovaniu oplotenia, kde je nutné riešiť opravy poškodených častí, resp. je potreba vymeniť väčší úsek oplotenia pre značné poškodenie vandalizmom. </w:t>
      </w:r>
    </w:p>
    <w:p w:rsidR="00904181" w:rsidRDefault="00904181" w:rsidP="00904181">
      <w:pPr>
        <w:spacing w:line="276" w:lineRule="auto"/>
        <w:ind w:firstLine="708"/>
        <w:jc w:val="both"/>
        <w:rPr>
          <w:rFonts w:ascii="Arial" w:hAnsi="Arial" w:cs="Arial"/>
          <w:sz w:val="22"/>
          <w:szCs w:val="22"/>
        </w:rPr>
      </w:pPr>
      <w:r>
        <w:rPr>
          <w:rFonts w:ascii="Arial" w:hAnsi="Arial" w:cs="Arial"/>
          <w:sz w:val="22"/>
          <w:szCs w:val="22"/>
        </w:rPr>
        <w:t>V mesiaci jún - júl 2019 bude v riešení oprava, resp. výmena poškodeného oplotenia  na viacúčelovom ihrisku na Bieloruskej ulici.</w:t>
      </w:r>
    </w:p>
    <w:p w:rsidR="00904181" w:rsidRDefault="00904181" w:rsidP="00904181">
      <w:pPr>
        <w:spacing w:line="276" w:lineRule="auto"/>
        <w:ind w:firstLine="708"/>
        <w:jc w:val="both"/>
        <w:rPr>
          <w:rFonts w:ascii="Arial" w:hAnsi="Arial" w:cs="Arial"/>
          <w:sz w:val="22"/>
          <w:szCs w:val="22"/>
        </w:rPr>
      </w:pPr>
      <w:r>
        <w:rPr>
          <w:rFonts w:ascii="Arial" w:hAnsi="Arial" w:cs="Arial"/>
          <w:sz w:val="22"/>
          <w:szCs w:val="22"/>
        </w:rPr>
        <w:t>V súčasnosti požiadavku oplotenia a uzamykania spĺňajú detské ihriská vo dvore knižnice na Latorickej ulici a detské ihriská na Učiteľskej ul., Lotyšskej ul..</w:t>
      </w:r>
    </w:p>
    <w:p w:rsidR="00904181" w:rsidRDefault="00904181" w:rsidP="00904181">
      <w:pPr>
        <w:spacing w:line="276" w:lineRule="auto"/>
        <w:ind w:firstLine="708"/>
        <w:jc w:val="both"/>
        <w:rPr>
          <w:rFonts w:ascii="Arial" w:hAnsi="Arial" w:cs="Arial"/>
          <w:sz w:val="22"/>
          <w:szCs w:val="22"/>
        </w:rPr>
      </w:pPr>
      <w:r>
        <w:rPr>
          <w:rFonts w:ascii="Arial" w:hAnsi="Arial" w:cs="Arial"/>
          <w:sz w:val="22"/>
          <w:szCs w:val="22"/>
        </w:rPr>
        <w:t>Z uvedeného je zrejmé, že MČ v nastávajúcom roku zabezpečí technicky a hygienicky vyhovujúci stav väčšiny detských ihrísk spĺňajúce predpísané európske normy.</w:t>
      </w:r>
    </w:p>
    <w:p w:rsidR="00904181" w:rsidRDefault="00904181" w:rsidP="00904181">
      <w:pPr>
        <w:spacing w:line="276" w:lineRule="auto"/>
        <w:jc w:val="both"/>
        <w:rPr>
          <w:rFonts w:ascii="Arial" w:hAnsi="Arial" w:cs="Arial"/>
          <w:sz w:val="22"/>
          <w:szCs w:val="22"/>
        </w:rPr>
      </w:pPr>
    </w:p>
    <w:p w:rsidR="00904181" w:rsidRDefault="00904181" w:rsidP="00904181">
      <w:pPr>
        <w:spacing w:line="276" w:lineRule="auto"/>
        <w:jc w:val="both"/>
        <w:rPr>
          <w:rFonts w:ascii="Arial" w:hAnsi="Arial" w:cs="Arial"/>
          <w:sz w:val="22"/>
          <w:szCs w:val="22"/>
        </w:rPr>
      </w:pPr>
    </w:p>
    <w:p w:rsidR="00904181" w:rsidRDefault="00904181" w:rsidP="00904181">
      <w:pPr>
        <w:spacing w:line="276" w:lineRule="auto"/>
        <w:jc w:val="both"/>
        <w:rPr>
          <w:rFonts w:ascii="Arial" w:hAnsi="Arial" w:cs="Arial"/>
          <w:sz w:val="22"/>
          <w:szCs w:val="22"/>
        </w:rPr>
      </w:pPr>
      <w:r>
        <w:rPr>
          <w:rFonts w:ascii="Arial" w:hAnsi="Arial" w:cs="Arial"/>
          <w:sz w:val="22"/>
          <w:szCs w:val="22"/>
        </w:rPr>
        <w:t>Spracoval:</w:t>
      </w:r>
    </w:p>
    <w:p w:rsidR="00904181" w:rsidRPr="00E704B3" w:rsidRDefault="00904181" w:rsidP="00904181">
      <w:pPr>
        <w:spacing w:line="276" w:lineRule="auto"/>
        <w:jc w:val="both"/>
        <w:rPr>
          <w:rFonts w:ascii="Arial" w:hAnsi="Arial" w:cs="Arial"/>
          <w:bCs/>
          <w:sz w:val="22"/>
          <w:szCs w:val="22"/>
        </w:rPr>
      </w:pPr>
      <w:r w:rsidRPr="00E704B3">
        <w:rPr>
          <w:rFonts w:ascii="Arial" w:hAnsi="Arial" w:cs="Arial"/>
          <w:bCs/>
          <w:sz w:val="22"/>
          <w:szCs w:val="22"/>
        </w:rPr>
        <w:t>Ing. Eduard Vandriak</w:t>
      </w:r>
    </w:p>
    <w:p w:rsidR="00904181" w:rsidRDefault="00904181" w:rsidP="00904181">
      <w:pPr>
        <w:spacing w:line="276" w:lineRule="auto"/>
        <w:jc w:val="both"/>
      </w:pPr>
      <w:proofErr w:type="spellStart"/>
      <w:r>
        <w:rPr>
          <w:rFonts w:ascii="Arial" w:hAnsi="Arial" w:cs="Arial"/>
          <w:sz w:val="22"/>
          <w:szCs w:val="22"/>
        </w:rPr>
        <w:t>ved</w:t>
      </w:r>
      <w:proofErr w:type="spellEnd"/>
      <w:r>
        <w:rPr>
          <w:rFonts w:ascii="Arial" w:hAnsi="Arial" w:cs="Arial"/>
          <w:sz w:val="22"/>
          <w:szCs w:val="22"/>
        </w:rPr>
        <w:t xml:space="preserve">. odd. </w:t>
      </w:r>
      <w:proofErr w:type="spellStart"/>
      <w:r>
        <w:rPr>
          <w:rFonts w:ascii="Arial" w:hAnsi="Arial" w:cs="Arial"/>
          <w:sz w:val="22"/>
          <w:szCs w:val="22"/>
        </w:rPr>
        <w:t>ŽP,OaCH</w:t>
      </w:r>
      <w:proofErr w:type="spellEnd"/>
    </w:p>
    <w:p w:rsidR="00904181" w:rsidRDefault="00904181" w:rsidP="00B3700B">
      <w:pPr>
        <w:spacing w:line="276" w:lineRule="auto"/>
        <w:jc w:val="both"/>
      </w:pPr>
    </w:p>
    <w:sectPr w:rsidR="00904181" w:rsidSect="00B3700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3112"/>
    <w:multiLevelType w:val="hybridMultilevel"/>
    <w:tmpl w:val="8CC042B0"/>
    <w:lvl w:ilvl="0" w:tplc="CF8E3514">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D67BF"/>
    <w:rsid w:val="00255E59"/>
    <w:rsid w:val="00312851"/>
    <w:rsid w:val="003F3E71"/>
    <w:rsid w:val="005143D1"/>
    <w:rsid w:val="00825917"/>
    <w:rsid w:val="008A58BA"/>
    <w:rsid w:val="00904181"/>
    <w:rsid w:val="0094129D"/>
    <w:rsid w:val="009A3114"/>
    <w:rsid w:val="009A6497"/>
    <w:rsid w:val="00AD67BF"/>
    <w:rsid w:val="00B3700B"/>
    <w:rsid w:val="00E0008D"/>
    <w:rsid w:val="00E704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9C54"/>
  <w15:docId w15:val="{A7985125-6D3B-48D0-9E2F-007D19A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7BF"/>
    <w:pPr>
      <w:spacing w:after="0" w:line="240" w:lineRule="auto"/>
    </w:pPr>
    <w:rPr>
      <w:rFonts w:ascii="Times New Roman" w:eastAsiaTheme="minorEastAsia"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AD67BF"/>
    <w:pPr>
      <w:spacing w:line="360" w:lineRule="auto"/>
      <w:jc w:val="both"/>
    </w:pPr>
    <w:rPr>
      <w:rFonts w:ascii="Arial" w:hAnsi="Arial" w:cs="Arial"/>
      <w:sz w:val="22"/>
      <w:szCs w:val="22"/>
    </w:rPr>
  </w:style>
  <w:style w:type="character" w:customStyle="1" w:styleId="ZkladntextChar">
    <w:name w:val="Základný text Char"/>
    <w:basedOn w:val="Predvolenpsmoodseku"/>
    <w:link w:val="Zkladntext"/>
    <w:uiPriority w:val="99"/>
    <w:rsid w:val="00AD67BF"/>
    <w:rPr>
      <w:rFonts w:ascii="Arial" w:eastAsiaTheme="minorEastAsia" w:hAnsi="Arial" w:cs="Aria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627</Words>
  <Characters>3576</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Vandriak Eduard</dc:creator>
  <cp:keywords/>
  <dc:description/>
  <cp:lastModifiedBy>Vandriak Eduard</cp:lastModifiedBy>
  <cp:revision>5</cp:revision>
  <dcterms:created xsi:type="dcterms:W3CDTF">2018-05-03T06:32:00Z</dcterms:created>
  <dcterms:modified xsi:type="dcterms:W3CDTF">2019-05-06T08:41:00Z</dcterms:modified>
</cp:coreProperties>
</file>