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D9F6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54514D" wp14:editId="72BFBC34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754646C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1B9D439A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7B371F8B" w14:textId="77777777" w:rsidR="00FA4C69" w:rsidRDefault="00FA4C69" w:rsidP="00FA4C69">
      <w:pPr>
        <w:rPr>
          <w:rFonts w:ascii="Arial" w:hAnsi="Arial"/>
        </w:rPr>
      </w:pPr>
    </w:p>
    <w:p w14:paraId="0CC204F8" w14:textId="77777777" w:rsidR="00FA4C69" w:rsidRDefault="00FA4C69" w:rsidP="00FA4C69">
      <w:pPr>
        <w:jc w:val="both"/>
        <w:rPr>
          <w:rFonts w:ascii="Arial" w:hAnsi="Arial"/>
        </w:rPr>
      </w:pPr>
    </w:p>
    <w:p w14:paraId="0A45601C" w14:textId="77777777" w:rsidR="00FA4C69" w:rsidRDefault="00FA4C69" w:rsidP="00FA4C69">
      <w:pPr>
        <w:jc w:val="both"/>
        <w:rPr>
          <w:rFonts w:ascii="Arial" w:hAnsi="Arial"/>
        </w:rPr>
      </w:pPr>
    </w:p>
    <w:p w14:paraId="2284C6A0" w14:textId="77777777" w:rsidR="00FA4C69" w:rsidRPr="00431C82" w:rsidRDefault="00FA4C69" w:rsidP="00FA4C69"/>
    <w:p w14:paraId="5AC4A14B" w14:textId="77777777" w:rsidR="00FA4C69" w:rsidRPr="00431C82" w:rsidRDefault="00FA4C69" w:rsidP="00FA4C69"/>
    <w:p w14:paraId="446CAAC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7E0DA7B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A2690">
        <w:rPr>
          <w:rFonts w:ascii="Arial" w:hAnsi="Arial" w:cs="Arial"/>
          <w:sz w:val="22"/>
          <w:szCs w:val="22"/>
        </w:rPr>
        <w:t>2</w:t>
      </w:r>
      <w:r w:rsidR="003E4F30">
        <w:rPr>
          <w:rFonts w:ascii="Arial" w:hAnsi="Arial" w:cs="Arial"/>
          <w:sz w:val="22"/>
          <w:szCs w:val="22"/>
        </w:rPr>
        <w:t>0</w:t>
      </w:r>
      <w:r w:rsidR="002A2690">
        <w:rPr>
          <w:rFonts w:ascii="Arial" w:hAnsi="Arial" w:cs="Arial"/>
          <w:sz w:val="22"/>
          <w:szCs w:val="22"/>
        </w:rPr>
        <w:t>.</w:t>
      </w:r>
      <w:r w:rsidR="003E4F30">
        <w:rPr>
          <w:rFonts w:ascii="Arial" w:hAnsi="Arial" w:cs="Arial"/>
          <w:sz w:val="22"/>
          <w:szCs w:val="22"/>
        </w:rPr>
        <w:t>júna</w:t>
      </w:r>
      <w:r w:rsidR="002A2690">
        <w:rPr>
          <w:rFonts w:ascii="Arial" w:hAnsi="Arial" w:cs="Arial"/>
          <w:sz w:val="22"/>
          <w:szCs w:val="22"/>
        </w:rPr>
        <w:t xml:space="preserve"> 2022</w:t>
      </w:r>
    </w:p>
    <w:p w14:paraId="282A650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3E4F30">
        <w:rPr>
          <w:rFonts w:ascii="Arial" w:hAnsi="Arial" w:cs="Arial"/>
          <w:sz w:val="22"/>
          <w:szCs w:val="22"/>
        </w:rPr>
        <w:t>28</w:t>
      </w:r>
      <w:r w:rsidR="002A2690">
        <w:rPr>
          <w:rFonts w:ascii="Arial" w:hAnsi="Arial" w:cs="Arial"/>
          <w:sz w:val="22"/>
          <w:szCs w:val="22"/>
        </w:rPr>
        <w:t>.</w:t>
      </w:r>
      <w:r w:rsidR="003E4F30">
        <w:rPr>
          <w:rFonts w:ascii="Arial" w:hAnsi="Arial" w:cs="Arial"/>
          <w:sz w:val="22"/>
          <w:szCs w:val="22"/>
        </w:rPr>
        <w:t>jún</w:t>
      </w:r>
      <w:r w:rsidR="002A2690">
        <w:rPr>
          <w:rFonts w:ascii="Arial" w:hAnsi="Arial" w:cs="Arial"/>
          <w:sz w:val="22"/>
          <w:szCs w:val="22"/>
        </w:rPr>
        <w:t>a 2022</w:t>
      </w:r>
    </w:p>
    <w:p w14:paraId="7D723D7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2ACF77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09E662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C28CF0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DA59CB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5791369" w14:textId="77777777" w:rsidR="00FA4C69" w:rsidRDefault="00FA4C69" w:rsidP="00FA4C69">
      <w:pPr>
        <w:rPr>
          <w:rFonts w:ascii="Arial" w:hAnsi="Arial"/>
        </w:rPr>
      </w:pPr>
    </w:p>
    <w:p w14:paraId="60EA6634" w14:textId="77777777" w:rsidR="002A2690" w:rsidRPr="00431C82" w:rsidRDefault="002A2690" w:rsidP="00FA4C69">
      <w:pPr>
        <w:rPr>
          <w:rFonts w:ascii="Arial" w:hAnsi="Arial"/>
        </w:rPr>
      </w:pPr>
    </w:p>
    <w:p w14:paraId="1B5FC889" w14:textId="77777777" w:rsidR="00FA4C69" w:rsidRPr="00431C82" w:rsidRDefault="00FA4C69" w:rsidP="00FA4C69">
      <w:pPr>
        <w:rPr>
          <w:rFonts w:ascii="Arial" w:hAnsi="Arial"/>
        </w:rPr>
      </w:pPr>
    </w:p>
    <w:p w14:paraId="449CFBF9" w14:textId="77777777" w:rsidR="00FA4C69" w:rsidRPr="00431C82" w:rsidRDefault="00FA4C69" w:rsidP="00FA4C69">
      <w:pPr>
        <w:rPr>
          <w:rFonts w:ascii="Arial" w:hAnsi="Arial"/>
        </w:rPr>
      </w:pPr>
    </w:p>
    <w:p w14:paraId="557B4EE1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768DFC41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  <w:r w:rsidRPr="00183A58">
        <w:rPr>
          <w:rFonts w:ascii="Arial" w:hAnsi="Arial" w:cs="Arial"/>
          <w:b/>
          <w:sz w:val="22"/>
          <w:szCs w:val="22"/>
        </w:rPr>
        <w:t xml:space="preserve">Návrh na  zmenu </w:t>
      </w:r>
      <w:r w:rsidR="00E4174A">
        <w:rPr>
          <w:rFonts w:ascii="Arial" w:hAnsi="Arial" w:cs="Arial"/>
          <w:b/>
          <w:sz w:val="22"/>
          <w:szCs w:val="22"/>
        </w:rPr>
        <w:t>P</w:t>
      </w:r>
      <w:r w:rsidR="00305E50">
        <w:rPr>
          <w:rFonts w:ascii="Arial" w:hAnsi="Arial" w:cs="Arial"/>
          <w:b/>
          <w:sz w:val="22"/>
          <w:szCs w:val="22"/>
        </w:rPr>
        <w:t xml:space="preserve">rogramového </w:t>
      </w:r>
      <w:r w:rsidRPr="00183A58">
        <w:rPr>
          <w:rFonts w:ascii="Arial" w:hAnsi="Arial" w:cs="Arial"/>
          <w:b/>
          <w:sz w:val="22"/>
          <w:szCs w:val="22"/>
        </w:rPr>
        <w:t>rozpočtu</w:t>
      </w:r>
      <w:r w:rsidRPr="00183A58">
        <w:rPr>
          <w:b/>
          <w:sz w:val="22"/>
          <w:szCs w:val="22"/>
        </w:rPr>
        <w:t> </w:t>
      </w:r>
      <w:r w:rsidRPr="00183A58">
        <w:rPr>
          <w:rFonts w:ascii="Arial" w:hAnsi="Arial" w:cs="Arial"/>
          <w:b/>
          <w:sz w:val="22"/>
          <w:szCs w:val="22"/>
        </w:rPr>
        <w:t>mestskej časti Bratislava – Podunajské Biskupice</w:t>
      </w:r>
      <w:r w:rsidR="00305E50">
        <w:rPr>
          <w:rFonts w:ascii="Arial" w:hAnsi="Arial" w:cs="Arial"/>
          <w:b/>
          <w:sz w:val="22"/>
          <w:szCs w:val="22"/>
        </w:rPr>
        <w:t xml:space="preserve"> na rok 2022</w:t>
      </w:r>
    </w:p>
    <w:p w14:paraId="401346BE" w14:textId="77777777" w:rsidR="00183A58" w:rsidRPr="00183A58" w:rsidRDefault="00183A58" w:rsidP="00183A58">
      <w:pPr>
        <w:jc w:val="center"/>
        <w:rPr>
          <w:rFonts w:ascii="Arial" w:hAnsi="Arial" w:cs="Arial"/>
          <w:b/>
          <w:sz w:val="22"/>
          <w:szCs w:val="22"/>
        </w:rPr>
      </w:pPr>
    </w:p>
    <w:p w14:paraId="3E8DCE0D" w14:textId="77777777" w:rsidR="00FA4C69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1269932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CFF027" w14:textId="77777777" w:rsidR="002A2690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3CCB9A" w14:textId="77777777" w:rsidR="002A2690" w:rsidRPr="007D34D7" w:rsidRDefault="002A2690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5BBF12" w14:textId="77777777" w:rsidR="00FA4C69" w:rsidRPr="00D76F62" w:rsidRDefault="00FA4C69" w:rsidP="007D34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BDCD22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61738903" w14:textId="77777777" w:rsidR="00FA4C69" w:rsidRPr="00431C82" w:rsidRDefault="00FA4C69" w:rsidP="007D34D7">
      <w:pPr>
        <w:jc w:val="center"/>
        <w:rPr>
          <w:rFonts w:ascii="Arial" w:hAnsi="Arial"/>
          <w:sz w:val="22"/>
        </w:rPr>
      </w:pPr>
    </w:p>
    <w:p w14:paraId="285C1501" w14:textId="4BFBC364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6F9E83D4" w14:textId="64D88D12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2F344C42" w14:textId="7B221D0A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</w:t>
      </w:r>
      <w:r w:rsidR="008A68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045E5DB7" w14:textId="7EEA8502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333DF1E0" w14:textId="77777777" w:rsidR="00FA4C69" w:rsidRPr="00256307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6A74E149" w14:textId="77777777" w:rsidR="00305E50" w:rsidRDefault="00305E50" w:rsidP="00FA4C69">
      <w:pPr>
        <w:rPr>
          <w:rFonts w:ascii="Arial" w:hAnsi="Arial"/>
          <w:sz w:val="22"/>
        </w:rPr>
      </w:pPr>
    </w:p>
    <w:p w14:paraId="20F38F3A" w14:textId="77777777" w:rsidR="00305E50" w:rsidRDefault="00305E50" w:rsidP="00FA4C69">
      <w:pPr>
        <w:rPr>
          <w:rFonts w:ascii="Arial" w:hAnsi="Arial"/>
          <w:sz w:val="22"/>
        </w:rPr>
      </w:pPr>
    </w:p>
    <w:p w14:paraId="3ACA7884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047E2EA2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77CFA5AF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74142A8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4B1465A" w14:textId="77777777" w:rsidR="00305E50" w:rsidRDefault="00305E50" w:rsidP="00FA4C69">
      <w:pPr>
        <w:rPr>
          <w:rFonts w:ascii="Arial" w:hAnsi="Arial"/>
          <w:sz w:val="22"/>
        </w:rPr>
      </w:pPr>
    </w:p>
    <w:p w14:paraId="5FE4D085" w14:textId="77777777" w:rsidR="00305E50" w:rsidRDefault="00305E50" w:rsidP="00FA4C69">
      <w:pPr>
        <w:rPr>
          <w:rFonts w:ascii="Arial" w:hAnsi="Arial"/>
          <w:sz w:val="22"/>
        </w:rPr>
      </w:pPr>
    </w:p>
    <w:p w14:paraId="682078BF" w14:textId="77777777" w:rsidR="00305E50" w:rsidRDefault="00305E50" w:rsidP="00FA4C69">
      <w:pPr>
        <w:rPr>
          <w:rFonts w:ascii="Arial" w:hAnsi="Arial"/>
          <w:sz w:val="22"/>
        </w:rPr>
      </w:pPr>
    </w:p>
    <w:p w14:paraId="40C52FF2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</w:t>
      </w:r>
      <w:r w:rsidR="00305E50">
        <w:rPr>
          <w:rFonts w:ascii="Arial" w:hAnsi="Arial"/>
          <w:sz w:val="22"/>
        </w:rPr>
        <w:t>a</w:t>
      </w:r>
      <w:r w:rsidRPr="00431C82">
        <w:rPr>
          <w:rFonts w:ascii="Arial" w:hAnsi="Arial"/>
          <w:sz w:val="22"/>
        </w:rPr>
        <w:t>:</w:t>
      </w:r>
    </w:p>
    <w:p w14:paraId="67CD3AB7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Ing. Marta Szoboszlaiová</w:t>
      </w:r>
    </w:p>
    <w:p w14:paraId="47527C96" w14:textId="77777777" w:rsidR="00FA4C69" w:rsidRPr="00183A58" w:rsidRDefault="00183A58" w:rsidP="00FA4C69">
      <w:pPr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v</w:t>
      </w:r>
      <w:r w:rsidRPr="00183A58">
        <w:rPr>
          <w:rFonts w:ascii="Arial" w:hAnsi="Arial"/>
          <w:iCs/>
          <w:sz w:val="22"/>
        </w:rPr>
        <w:t>edúca oddelenia ekonomického</w:t>
      </w:r>
    </w:p>
    <w:p w14:paraId="428254DE" w14:textId="77777777" w:rsidR="00183A58" w:rsidRDefault="00183A58" w:rsidP="00FA4C69">
      <w:pPr>
        <w:rPr>
          <w:rFonts w:ascii="Arial" w:hAnsi="Arial"/>
          <w:iCs/>
          <w:sz w:val="22"/>
        </w:rPr>
      </w:pPr>
      <w:r w:rsidRPr="00183A58">
        <w:rPr>
          <w:rFonts w:ascii="Arial" w:hAnsi="Arial"/>
          <w:iCs/>
          <w:sz w:val="22"/>
        </w:rPr>
        <w:t>a správy majetku</w:t>
      </w:r>
    </w:p>
    <w:p w14:paraId="1CFEA257" w14:textId="77777777" w:rsidR="002A2690" w:rsidRDefault="002A2690" w:rsidP="00FA4C69">
      <w:pPr>
        <w:rPr>
          <w:rFonts w:ascii="Arial" w:hAnsi="Arial"/>
          <w:iCs/>
          <w:sz w:val="22"/>
        </w:rPr>
      </w:pPr>
    </w:p>
    <w:p w14:paraId="6FA6A757" w14:textId="77777777" w:rsidR="00256307" w:rsidRDefault="00256307" w:rsidP="00FA4C69">
      <w:pPr>
        <w:rPr>
          <w:rFonts w:ascii="Arial" w:hAnsi="Arial"/>
          <w:iCs/>
          <w:sz w:val="22"/>
        </w:rPr>
      </w:pPr>
    </w:p>
    <w:p w14:paraId="676E963C" w14:textId="77777777" w:rsidR="00305E50" w:rsidRDefault="00305E50" w:rsidP="00FA4C69">
      <w:pPr>
        <w:rPr>
          <w:rFonts w:ascii="Arial" w:hAnsi="Arial"/>
          <w:iCs/>
          <w:sz w:val="22"/>
        </w:rPr>
      </w:pPr>
    </w:p>
    <w:p w14:paraId="29B04E3E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2A2690">
        <w:rPr>
          <w:rFonts w:ascii="Arial" w:hAnsi="Arial" w:cs="Arial"/>
          <w:b/>
          <w:sz w:val="22"/>
          <w:szCs w:val="22"/>
        </w:rPr>
        <w:t>2</w:t>
      </w:r>
      <w:r w:rsidR="003E4F30">
        <w:rPr>
          <w:rFonts w:ascii="Arial" w:hAnsi="Arial" w:cs="Arial"/>
          <w:b/>
          <w:sz w:val="22"/>
          <w:szCs w:val="22"/>
        </w:rPr>
        <w:t>0</w:t>
      </w:r>
      <w:r w:rsidR="002A2690">
        <w:rPr>
          <w:rFonts w:ascii="Arial" w:hAnsi="Arial" w:cs="Arial"/>
          <w:b/>
          <w:sz w:val="22"/>
          <w:szCs w:val="22"/>
        </w:rPr>
        <w:t>.</w:t>
      </w:r>
      <w:r w:rsidR="003E4F30">
        <w:rPr>
          <w:rFonts w:ascii="Arial" w:hAnsi="Arial" w:cs="Arial"/>
          <w:b/>
          <w:sz w:val="22"/>
          <w:szCs w:val="22"/>
        </w:rPr>
        <w:t>6</w:t>
      </w:r>
      <w:r w:rsidR="002A2690">
        <w:rPr>
          <w:rFonts w:ascii="Arial" w:hAnsi="Arial" w:cs="Arial"/>
          <w:b/>
          <w:sz w:val="22"/>
          <w:szCs w:val="22"/>
        </w:rPr>
        <w:t>.2022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6BB65B1E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317299BE" w14:textId="77777777" w:rsidR="008A6867" w:rsidRDefault="008A6867" w:rsidP="008A6867"/>
    <w:p w14:paraId="1480D462" w14:textId="77777777" w:rsidR="008A6867" w:rsidRPr="008A6867" w:rsidRDefault="008A6867" w:rsidP="008A6867">
      <w:pPr>
        <w:rPr>
          <w:rFonts w:ascii="Arial" w:hAnsi="Arial" w:cs="Arial"/>
          <w:b/>
          <w:bCs/>
          <w:sz w:val="22"/>
          <w:szCs w:val="22"/>
        </w:rPr>
      </w:pPr>
      <w:r w:rsidRPr="008A6867">
        <w:rPr>
          <w:rFonts w:ascii="Arial" w:hAnsi="Arial" w:cs="Arial"/>
          <w:b/>
          <w:bCs/>
          <w:sz w:val="22"/>
          <w:szCs w:val="22"/>
        </w:rPr>
        <w:t xml:space="preserve">UZNESENIE č. 246/2022/MR </w:t>
      </w:r>
    </w:p>
    <w:p w14:paraId="2D607C95" w14:textId="77777777" w:rsidR="008A6867" w:rsidRPr="008A6867" w:rsidRDefault="008A6867" w:rsidP="008A6867">
      <w:pPr>
        <w:rPr>
          <w:sz w:val="22"/>
          <w:szCs w:val="22"/>
        </w:rPr>
      </w:pPr>
      <w:r w:rsidRPr="008A6867">
        <w:rPr>
          <w:rFonts w:ascii="Arial" w:hAnsi="Arial" w:cs="Arial"/>
          <w:sz w:val="22"/>
          <w:szCs w:val="22"/>
        </w:rPr>
        <w:t xml:space="preserve">Miestna rada </w:t>
      </w:r>
      <w:r w:rsidRPr="008A6867">
        <w:rPr>
          <w:rFonts w:ascii="Arial" w:hAnsi="Arial" w:cs="Arial"/>
          <w:b/>
          <w:sz w:val="22"/>
          <w:szCs w:val="22"/>
        </w:rPr>
        <w:t>odporúča</w:t>
      </w:r>
      <w:r w:rsidRPr="008A6867">
        <w:rPr>
          <w:rFonts w:ascii="Arial" w:hAnsi="Arial" w:cs="Arial"/>
          <w:sz w:val="22"/>
          <w:szCs w:val="22"/>
        </w:rPr>
        <w:t xml:space="preserve"> miestnemu zastupiteľstvu </w:t>
      </w:r>
      <w:r w:rsidRPr="008A6867">
        <w:rPr>
          <w:rFonts w:ascii="Arial" w:hAnsi="Arial" w:cs="Arial"/>
          <w:b/>
          <w:sz w:val="22"/>
          <w:szCs w:val="22"/>
        </w:rPr>
        <w:t>schváliť</w:t>
      </w:r>
      <w:r w:rsidRPr="008A6867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699836D2" w14:textId="77777777" w:rsidR="008A6867" w:rsidRPr="008A6867" w:rsidRDefault="008A6867" w:rsidP="008A6867">
      <w:pPr>
        <w:rPr>
          <w:sz w:val="22"/>
          <w:szCs w:val="22"/>
        </w:rPr>
      </w:pPr>
    </w:p>
    <w:p w14:paraId="0F7BF633" w14:textId="77777777" w:rsidR="008A6867" w:rsidRPr="008A6867" w:rsidRDefault="008A6867" w:rsidP="008A6867">
      <w:pPr>
        <w:rPr>
          <w:sz w:val="22"/>
          <w:szCs w:val="22"/>
        </w:rPr>
      </w:pPr>
    </w:p>
    <w:p w14:paraId="21A0C930" w14:textId="77777777" w:rsidR="008A6867" w:rsidRPr="008A6867" w:rsidRDefault="008A6867" w:rsidP="008A6867">
      <w:pPr>
        <w:rPr>
          <w:sz w:val="22"/>
          <w:szCs w:val="22"/>
        </w:rPr>
      </w:pPr>
    </w:p>
    <w:p w14:paraId="3052F4EE" w14:textId="77777777" w:rsidR="008A6867" w:rsidRPr="008A6867" w:rsidRDefault="008A6867" w:rsidP="008A6867">
      <w:pPr>
        <w:rPr>
          <w:sz w:val="22"/>
          <w:szCs w:val="22"/>
        </w:rPr>
      </w:pPr>
    </w:p>
    <w:p w14:paraId="798B14AA" w14:textId="77777777" w:rsidR="008A6867" w:rsidRPr="008A6867" w:rsidRDefault="008A6867" w:rsidP="008A6867">
      <w:pPr>
        <w:jc w:val="center"/>
        <w:rPr>
          <w:rFonts w:ascii="Arial" w:hAnsi="Arial" w:cs="Arial"/>
          <w:b/>
          <w:sz w:val="22"/>
          <w:szCs w:val="22"/>
        </w:rPr>
      </w:pPr>
      <w:r w:rsidRPr="008A6867">
        <w:rPr>
          <w:rFonts w:ascii="Arial" w:hAnsi="Arial" w:cs="Arial"/>
          <w:b/>
          <w:sz w:val="22"/>
          <w:szCs w:val="22"/>
        </w:rPr>
        <w:t>Vyjadrenie komisií</w:t>
      </w:r>
    </w:p>
    <w:p w14:paraId="67A4C587" w14:textId="77777777" w:rsidR="008A6867" w:rsidRPr="008A6867" w:rsidRDefault="008A6867" w:rsidP="008A6867">
      <w:pPr>
        <w:rPr>
          <w:rFonts w:ascii="Arial" w:hAnsi="Arial" w:cs="Arial"/>
          <w:sz w:val="22"/>
          <w:szCs w:val="22"/>
        </w:rPr>
      </w:pPr>
    </w:p>
    <w:p w14:paraId="373AAAFA" w14:textId="77777777" w:rsidR="008A6867" w:rsidRPr="008A6867" w:rsidRDefault="008A6867" w:rsidP="008A6867">
      <w:pPr>
        <w:rPr>
          <w:rFonts w:ascii="Arial" w:hAnsi="Arial" w:cs="Arial"/>
          <w:sz w:val="22"/>
          <w:szCs w:val="22"/>
        </w:rPr>
      </w:pPr>
    </w:p>
    <w:p w14:paraId="60BE17FA" w14:textId="77777777" w:rsidR="008A6867" w:rsidRPr="008A6867" w:rsidRDefault="008A6867" w:rsidP="008A6867">
      <w:pPr>
        <w:rPr>
          <w:rFonts w:ascii="Arial" w:hAnsi="Arial" w:cs="Arial"/>
          <w:b/>
          <w:bCs/>
          <w:sz w:val="22"/>
          <w:szCs w:val="22"/>
        </w:rPr>
      </w:pPr>
      <w:r w:rsidRPr="008A6867">
        <w:rPr>
          <w:rFonts w:ascii="Arial" w:hAnsi="Arial" w:cs="Arial"/>
          <w:b/>
          <w:bCs/>
          <w:sz w:val="22"/>
          <w:szCs w:val="22"/>
        </w:rPr>
        <w:t>Komisia finančná, podnikateľských činností a obchodu :</w:t>
      </w:r>
    </w:p>
    <w:p w14:paraId="77AAC5E2" w14:textId="77777777" w:rsidR="008A6867" w:rsidRPr="008A6867" w:rsidRDefault="008A6867" w:rsidP="008A6867">
      <w:pPr>
        <w:rPr>
          <w:rFonts w:ascii="Arial" w:hAnsi="Arial" w:cs="Arial"/>
          <w:sz w:val="22"/>
          <w:szCs w:val="22"/>
        </w:rPr>
      </w:pPr>
    </w:p>
    <w:p w14:paraId="6D7656CD" w14:textId="77777777" w:rsidR="008A6867" w:rsidRPr="008A6867" w:rsidRDefault="008A6867" w:rsidP="008A6867">
      <w:pPr>
        <w:jc w:val="both"/>
        <w:rPr>
          <w:rFonts w:ascii="Arial" w:hAnsi="Arial" w:cs="Arial"/>
          <w:sz w:val="22"/>
          <w:szCs w:val="22"/>
        </w:rPr>
      </w:pPr>
      <w:r w:rsidRPr="008A6867">
        <w:rPr>
          <w:rFonts w:ascii="Arial" w:hAnsi="Arial" w:cs="Arial"/>
          <w:sz w:val="22"/>
          <w:szCs w:val="22"/>
        </w:rPr>
        <w:t>Komisia finančná, podnikateľských činností a obchodu berie na vedomie a odporúča prerokovať materiál na Miestnej rade a Miestnom zastupiteľstve mestskej časti Podunajské Biskupice.</w:t>
      </w:r>
    </w:p>
    <w:p w14:paraId="6FECDF4B" w14:textId="77777777" w:rsidR="008A6867" w:rsidRPr="008A6867" w:rsidRDefault="008A6867" w:rsidP="008A6867">
      <w:pPr>
        <w:rPr>
          <w:sz w:val="22"/>
          <w:szCs w:val="22"/>
        </w:rPr>
      </w:pPr>
    </w:p>
    <w:p w14:paraId="6D3F44F1" w14:textId="77777777" w:rsidR="008A6867" w:rsidRPr="008A6867" w:rsidRDefault="008A6867" w:rsidP="008A68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6867">
        <w:rPr>
          <w:rFonts w:ascii="Arial" w:hAnsi="Arial" w:cs="Arial"/>
          <w:b/>
          <w:bCs/>
          <w:sz w:val="22"/>
          <w:szCs w:val="22"/>
        </w:rPr>
        <w:t>Komisia školstva, kultúry, mládeže a športu</w:t>
      </w:r>
    </w:p>
    <w:p w14:paraId="2F44C5C4" w14:textId="77777777" w:rsidR="008A6867" w:rsidRPr="008A6867" w:rsidRDefault="008A6867" w:rsidP="008A6867">
      <w:pPr>
        <w:jc w:val="both"/>
        <w:rPr>
          <w:rFonts w:ascii="Arial" w:hAnsi="Arial" w:cs="Arial"/>
          <w:sz w:val="22"/>
          <w:szCs w:val="22"/>
        </w:rPr>
      </w:pPr>
      <w:r w:rsidRPr="008A6867">
        <w:rPr>
          <w:rFonts w:ascii="Arial" w:hAnsi="Arial" w:cs="Arial"/>
          <w:sz w:val="22"/>
          <w:szCs w:val="22"/>
        </w:rPr>
        <w:t>Komisia školstva, kultúry, mládeže a športu odporúča miestnemu zastupiteľstvu schváliť návrh rozpočtu pre kultúrne podujatia do konca roka 2022 FP vo výške 20 000 eur.</w:t>
      </w:r>
    </w:p>
    <w:p w14:paraId="7C63BF8C" w14:textId="77777777" w:rsidR="008A6867" w:rsidRPr="008A6867" w:rsidRDefault="008A6867" w:rsidP="008A6867">
      <w:pPr>
        <w:jc w:val="both"/>
        <w:rPr>
          <w:rFonts w:ascii="Arial" w:hAnsi="Arial" w:cs="Arial"/>
          <w:sz w:val="22"/>
          <w:szCs w:val="22"/>
        </w:rPr>
      </w:pPr>
    </w:p>
    <w:p w14:paraId="19B86BC7" w14:textId="77777777" w:rsidR="008A6867" w:rsidRPr="008A6867" w:rsidRDefault="008A6867" w:rsidP="008A68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A6867">
        <w:rPr>
          <w:rFonts w:ascii="Arial" w:hAnsi="Arial" w:cs="Arial"/>
          <w:b/>
          <w:bCs/>
          <w:sz w:val="22"/>
          <w:szCs w:val="22"/>
        </w:rPr>
        <w:t>Komisia územného plánu, výstavby, životného prostredia, odpadov a cestného hospodárstva :</w:t>
      </w:r>
    </w:p>
    <w:p w14:paraId="530B65F7" w14:textId="77777777" w:rsidR="008A6867" w:rsidRPr="008A6867" w:rsidRDefault="008A6867" w:rsidP="008A6867">
      <w:pPr>
        <w:rPr>
          <w:rFonts w:ascii="Arial" w:hAnsi="Arial" w:cs="Arial"/>
          <w:sz w:val="22"/>
          <w:szCs w:val="22"/>
        </w:rPr>
      </w:pPr>
    </w:p>
    <w:p w14:paraId="7753A92A" w14:textId="77777777" w:rsidR="008A6867" w:rsidRPr="008A6867" w:rsidRDefault="008A6867" w:rsidP="008A6867">
      <w:pPr>
        <w:rPr>
          <w:rFonts w:ascii="Arial" w:hAnsi="Arial" w:cs="Arial"/>
          <w:sz w:val="22"/>
          <w:szCs w:val="22"/>
        </w:rPr>
      </w:pPr>
      <w:r w:rsidRPr="008A6867">
        <w:rPr>
          <w:rFonts w:ascii="Arial" w:hAnsi="Arial" w:cs="Arial"/>
          <w:sz w:val="22"/>
          <w:szCs w:val="22"/>
        </w:rPr>
        <w:t>Komisia nebola uznášania schopná.</w:t>
      </w:r>
    </w:p>
    <w:p w14:paraId="38B92DBC" w14:textId="77777777" w:rsidR="00EC3BD4" w:rsidRPr="008A6867" w:rsidRDefault="00EC3BD4">
      <w:pPr>
        <w:rPr>
          <w:sz w:val="22"/>
          <w:szCs w:val="22"/>
        </w:rPr>
      </w:pPr>
    </w:p>
    <w:p w14:paraId="331C5AA4" w14:textId="77777777" w:rsidR="00EC3BD4" w:rsidRDefault="00EC3BD4"/>
    <w:p w14:paraId="61CE1B25" w14:textId="77777777" w:rsidR="00EC3BD4" w:rsidRDefault="00EC3BD4"/>
    <w:p w14:paraId="3AF444EA" w14:textId="77777777" w:rsidR="00EC3BD4" w:rsidRDefault="00EC3BD4"/>
    <w:p w14:paraId="4804A31E" w14:textId="77777777" w:rsidR="00EC3BD4" w:rsidRDefault="00EC3BD4"/>
    <w:p w14:paraId="74F29521" w14:textId="77777777" w:rsidR="00EC3BD4" w:rsidRDefault="00EC3BD4"/>
    <w:p w14:paraId="19500E06" w14:textId="77777777" w:rsidR="00EC3BD4" w:rsidRDefault="00EC3BD4"/>
    <w:p w14:paraId="2F36B98C" w14:textId="77777777" w:rsidR="00EC3BD4" w:rsidRDefault="00EC3BD4"/>
    <w:p w14:paraId="617900A1" w14:textId="77777777" w:rsidR="00EC3BD4" w:rsidRDefault="00EC3BD4"/>
    <w:p w14:paraId="7A1A1958" w14:textId="77777777" w:rsidR="00EC3BD4" w:rsidRDefault="00EC3BD4"/>
    <w:p w14:paraId="564B44A5" w14:textId="77777777" w:rsidR="00EC3BD4" w:rsidRDefault="00EC3BD4"/>
    <w:p w14:paraId="20955B90" w14:textId="77777777" w:rsidR="00EC3BD4" w:rsidRDefault="00EC3BD4"/>
    <w:p w14:paraId="1CE67330" w14:textId="77777777" w:rsidR="00EC3BD4" w:rsidRDefault="00EC3BD4"/>
    <w:p w14:paraId="4FDDC40A" w14:textId="77777777" w:rsidR="00EC3BD4" w:rsidRDefault="00EC3BD4"/>
    <w:p w14:paraId="09B6980A" w14:textId="1BDC25A4" w:rsidR="00EC3BD4" w:rsidRDefault="00EC3BD4"/>
    <w:p w14:paraId="679CCB62" w14:textId="05336165" w:rsidR="008A6867" w:rsidRDefault="008A6867"/>
    <w:p w14:paraId="1F2C1DA9" w14:textId="7A7A982F" w:rsidR="008A6867" w:rsidRDefault="008A6867"/>
    <w:p w14:paraId="4C2D4154" w14:textId="7F300FE6" w:rsidR="008A6867" w:rsidRDefault="008A6867"/>
    <w:p w14:paraId="71DEE955" w14:textId="0FAA489C" w:rsidR="008A6867" w:rsidRDefault="008A6867"/>
    <w:p w14:paraId="12B03D59" w14:textId="0E2E4D69" w:rsidR="008A6867" w:rsidRDefault="008A6867"/>
    <w:p w14:paraId="215C72F6" w14:textId="77777777" w:rsidR="008A6867" w:rsidRDefault="008A6867"/>
    <w:p w14:paraId="3CF37A65" w14:textId="77777777" w:rsidR="00EC3BD4" w:rsidRDefault="00EC3BD4"/>
    <w:p w14:paraId="63AB4876" w14:textId="77777777" w:rsidR="00EC3BD4" w:rsidRDefault="00EC3BD4"/>
    <w:p w14:paraId="3D07B38E" w14:textId="77777777" w:rsidR="00EC3BD4" w:rsidRDefault="00EC3BD4"/>
    <w:p w14:paraId="6B801C82" w14:textId="77777777" w:rsidR="00EC3BD4" w:rsidRDefault="00EC3BD4"/>
    <w:p w14:paraId="2CD2A3D5" w14:textId="77777777" w:rsidR="00EC3BD4" w:rsidRDefault="00EC3BD4"/>
    <w:p w14:paraId="27E3FEEB" w14:textId="77777777" w:rsidR="00CB1F1A" w:rsidRPr="00906A9C" w:rsidRDefault="00CB1F1A" w:rsidP="00CB1F1A">
      <w:pPr>
        <w:jc w:val="center"/>
        <w:rPr>
          <w:b/>
        </w:rPr>
      </w:pPr>
      <w:r w:rsidRPr="00906A9C">
        <w:rPr>
          <w:b/>
        </w:rPr>
        <w:lastRenderedPageBreak/>
        <w:t>Návrh uznesenia</w:t>
      </w:r>
    </w:p>
    <w:p w14:paraId="70B73D5B" w14:textId="77777777" w:rsidR="00CB1F1A" w:rsidRPr="00906A9C" w:rsidRDefault="00CB1F1A" w:rsidP="00CB1F1A">
      <w:pPr>
        <w:spacing w:after="160" w:line="259" w:lineRule="auto"/>
        <w:contextualSpacing/>
        <w:rPr>
          <w:rFonts w:eastAsiaTheme="minorHAnsi"/>
          <w:lang w:eastAsia="en-US"/>
        </w:rPr>
      </w:pPr>
      <w:r w:rsidRPr="00906A9C">
        <w:rPr>
          <w:rFonts w:eastAsiaTheme="minorHAnsi"/>
          <w:lang w:eastAsia="en-US"/>
        </w:rPr>
        <w:t xml:space="preserve">( Na schválenie uznesenia je potrebný súhlas </w:t>
      </w:r>
      <w:r w:rsidR="00183A58" w:rsidRPr="00906A9C">
        <w:rPr>
          <w:rFonts w:eastAsiaTheme="minorHAnsi"/>
          <w:lang w:eastAsia="en-US"/>
        </w:rPr>
        <w:t>nadpolovičnej väčšiny prítomných</w:t>
      </w:r>
      <w:r w:rsidRPr="00906A9C">
        <w:rPr>
          <w:rFonts w:eastAsiaTheme="minorHAnsi"/>
          <w:lang w:eastAsia="en-US"/>
        </w:rPr>
        <w:t xml:space="preserve"> poslancov )</w:t>
      </w:r>
    </w:p>
    <w:p w14:paraId="40B9D0E8" w14:textId="77777777" w:rsidR="00CB1F1A" w:rsidRPr="00906A9C" w:rsidRDefault="00CB1F1A" w:rsidP="00CB1F1A">
      <w:pPr>
        <w:jc w:val="center"/>
        <w:rPr>
          <w:b/>
        </w:rPr>
      </w:pPr>
    </w:p>
    <w:p w14:paraId="33903012" w14:textId="77777777" w:rsidR="00CB1F1A" w:rsidRPr="00906A9C" w:rsidRDefault="00CB1F1A" w:rsidP="00CB1F1A">
      <w:pPr>
        <w:jc w:val="center"/>
        <w:rPr>
          <w:b/>
        </w:rPr>
      </w:pPr>
    </w:p>
    <w:p w14:paraId="3D90E992" w14:textId="77777777" w:rsidR="00CB1F1A" w:rsidRPr="00906A9C" w:rsidRDefault="00CB1F1A" w:rsidP="00CB1F1A">
      <w:pPr>
        <w:jc w:val="center"/>
        <w:rPr>
          <w:b/>
        </w:rPr>
      </w:pPr>
    </w:p>
    <w:p w14:paraId="7B5D675E" w14:textId="77777777" w:rsidR="00CB1F1A" w:rsidRPr="00906A9C" w:rsidRDefault="00CB1F1A" w:rsidP="00CB1F1A"/>
    <w:p w14:paraId="49537F7A" w14:textId="77777777" w:rsidR="00CB1F1A" w:rsidRPr="00906A9C" w:rsidRDefault="00CB1F1A" w:rsidP="00CB1F1A">
      <w:pPr>
        <w:spacing w:after="160" w:line="259" w:lineRule="auto"/>
        <w:rPr>
          <w:rFonts w:eastAsiaTheme="minorHAnsi"/>
          <w:b/>
          <w:lang w:eastAsia="en-US"/>
        </w:rPr>
      </w:pPr>
      <w:r w:rsidRPr="00906A9C">
        <w:rPr>
          <w:rFonts w:eastAsiaTheme="minorHAnsi"/>
          <w:b/>
          <w:lang w:eastAsia="en-US"/>
        </w:rPr>
        <w:t>Uznesenie č. : .........................</w:t>
      </w:r>
    </w:p>
    <w:p w14:paraId="234E4EC1" w14:textId="77777777" w:rsidR="00CB1F1A" w:rsidRPr="00906A9C" w:rsidRDefault="00CB1F1A" w:rsidP="00CB1F1A">
      <w:pPr>
        <w:spacing w:after="160" w:line="259" w:lineRule="auto"/>
        <w:rPr>
          <w:rFonts w:eastAsiaTheme="minorHAnsi"/>
          <w:lang w:eastAsia="en-US"/>
        </w:rPr>
      </w:pPr>
    </w:p>
    <w:p w14:paraId="0E2FF704" w14:textId="77777777" w:rsidR="00CB1F1A" w:rsidRPr="00906A9C" w:rsidRDefault="00CB1F1A" w:rsidP="00CB1F1A">
      <w:pPr>
        <w:spacing w:after="160" w:line="259" w:lineRule="auto"/>
        <w:rPr>
          <w:rFonts w:eastAsiaTheme="minorHAnsi"/>
          <w:lang w:eastAsia="en-US"/>
        </w:rPr>
      </w:pPr>
      <w:r w:rsidRPr="00906A9C">
        <w:rPr>
          <w:rFonts w:eastAsiaTheme="minorHAnsi"/>
          <w:lang w:eastAsia="en-US"/>
        </w:rPr>
        <w:t>Miestne zastupiteľstvo Mestskej časti Bratislava – Podunajské Biskupice po prerokovaní:</w:t>
      </w:r>
    </w:p>
    <w:p w14:paraId="61241112" w14:textId="77777777" w:rsidR="00CB1F1A" w:rsidRPr="00906A9C" w:rsidRDefault="00183A58" w:rsidP="00EC3BD4">
      <w:pPr>
        <w:jc w:val="center"/>
        <w:rPr>
          <w:b/>
        </w:rPr>
      </w:pPr>
      <w:r w:rsidRPr="00906A9C">
        <w:rPr>
          <w:b/>
        </w:rPr>
        <w:t>s c h v a ľ u j e</w:t>
      </w:r>
    </w:p>
    <w:p w14:paraId="3FAFB75B" w14:textId="77777777" w:rsidR="002A2690" w:rsidRPr="00906A9C" w:rsidRDefault="002A2690" w:rsidP="00EC3BD4">
      <w:pPr>
        <w:jc w:val="center"/>
        <w:rPr>
          <w:b/>
        </w:rPr>
      </w:pPr>
    </w:p>
    <w:p w14:paraId="5319F367" w14:textId="77777777" w:rsidR="008B790C" w:rsidRDefault="002A2690" w:rsidP="006F5BFA">
      <w:pPr>
        <w:pStyle w:val="Odsekzoznamu"/>
        <w:numPr>
          <w:ilvl w:val="0"/>
          <w:numId w:val="8"/>
        </w:numPr>
      </w:pPr>
      <w:r w:rsidRPr="00906A9C">
        <w:t xml:space="preserve">zmenu </w:t>
      </w:r>
      <w:r w:rsidR="00FC037F" w:rsidRPr="00906A9C">
        <w:t xml:space="preserve">Programového </w:t>
      </w:r>
      <w:r w:rsidRPr="00906A9C">
        <w:t>rozpočtu</w:t>
      </w:r>
      <w:r w:rsidR="00FC037F" w:rsidRPr="00906A9C">
        <w:t xml:space="preserve"> mestskej časti Bratislava – Podunajské</w:t>
      </w:r>
      <w:r w:rsidR="00FC037F">
        <w:t xml:space="preserve"> Biskupice </w:t>
      </w:r>
      <w:r>
        <w:t xml:space="preserve"> na rok 2022 podľa bodu č. 1</w:t>
      </w:r>
      <w:r w:rsidR="00FC037F">
        <w:t xml:space="preserve">, </w:t>
      </w:r>
    </w:p>
    <w:p w14:paraId="259B8BFD" w14:textId="77777777" w:rsidR="007378F2" w:rsidRDefault="00EB0CFB" w:rsidP="00EB0CFB">
      <w:pPr>
        <w:pStyle w:val="Odsekzoznamu"/>
        <w:numPr>
          <w:ilvl w:val="0"/>
          <w:numId w:val="4"/>
        </w:numPr>
      </w:pPr>
      <w:r w:rsidRPr="00141FEA">
        <w:rPr>
          <w:b/>
          <w:bCs/>
        </w:rPr>
        <w:t xml:space="preserve">zvýšenie </w:t>
      </w:r>
      <w:r w:rsidR="007378F2" w:rsidRPr="00141FEA">
        <w:rPr>
          <w:b/>
          <w:bCs/>
        </w:rPr>
        <w:t>celkových príjmov rozpočtu na rok 2022</w:t>
      </w:r>
      <w:r w:rsidR="007378F2">
        <w:t xml:space="preserve"> </w:t>
      </w:r>
      <w:r w:rsidR="007378F2" w:rsidRPr="0078301C">
        <w:rPr>
          <w:b/>
          <w:bCs/>
        </w:rPr>
        <w:t>o</w:t>
      </w:r>
      <w:r w:rsidR="0078301C" w:rsidRPr="0078301C">
        <w:rPr>
          <w:b/>
          <w:bCs/>
        </w:rPr>
        <w:t> 67</w:t>
      </w:r>
      <w:r w:rsidR="000F576E">
        <w:rPr>
          <w:b/>
          <w:bCs/>
        </w:rPr>
        <w:t>3</w:t>
      </w:r>
      <w:r w:rsidR="0078301C" w:rsidRPr="0078301C">
        <w:rPr>
          <w:b/>
          <w:bCs/>
        </w:rPr>
        <w:t> </w:t>
      </w:r>
      <w:r w:rsidR="000F576E">
        <w:rPr>
          <w:b/>
          <w:bCs/>
        </w:rPr>
        <w:t>110</w:t>
      </w:r>
      <w:r w:rsidR="0078301C" w:rsidRPr="0078301C">
        <w:rPr>
          <w:b/>
          <w:bCs/>
        </w:rPr>
        <w:t xml:space="preserve"> </w:t>
      </w:r>
      <w:r w:rsidR="007378F2" w:rsidRPr="0078301C">
        <w:rPr>
          <w:b/>
          <w:bCs/>
        </w:rPr>
        <w:t>€,</w:t>
      </w:r>
      <w:r w:rsidR="007378F2">
        <w:t xml:space="preserve"> z toho</w:t>
      </w:r>
    </w:p>
    <w:p w14:paraId="5B562D05" w14:textId="77777777" w:rsidR="003E4F30" w:rsidRDefault="00EB0CFB" w:rsidP="007378F2">
      <w:pPr>
        <w:pStyle w:val="Odsekzoznamu"/>
        <w:numPr>
          <w:ilvl w:val="0"/>
          <w:numId w:val="6"/>
        </w:numPr>
      </w:pPr>
      <w:r w:rsidRPr="00EB0CFB">
        <w:rPr>
          <w:b/>
          <w:bCs/>
        </w:rPr>
        <w:t>bežných príjmov o</w:t>
      </w:r>
      <w:r w:rsidR="00A96FD0">
        <w:rPr>
          <w:b/>
          <w:bCs/>
        </w:rPr>
        <w:t xml:space="preserve"> 437 </w:t>
      </w:r>
      <w:r w:rsidR="000F576E">
        <w:rPr>
          <w:b/>
          <w:bCs/>
        </w:rPr>
        <w:t>812</w:t>
      </w:r>
      <w:r w:rsidRPr="00EB0CFB">
        <w:rPr>
          <w:b/>
          <w:bCs/>
        </w:rPr>
        <w:t>,00 €</w:t>
      </w:r>
      <w:r>
        <w:t xml:space="preserve"> nasledovne:</w:t>
      </w:r>
    </w:p>
    <w:p w14:paraId="1409F6EE" w14:textId="77777777" w:rsidR="00EB0CFB" w:rsidRDefault="00EB0CFB" w:rsidP="00EB0CFB">
      <w:pPr>
        <w:pStyle w:val="Odsekzoznamu"/>
        <w:numPr>
          <w:ilvl w:val="0"/>
          <w:numId w:val="5"/>
        </w:numPr>
      </w:pPr>
      <w:r>
        <w:t>položka 120 Dane z majetku zvýšenie o 420 000 €</w:t>
      </w:r>
    </w:p>
    <w:p w14:paraId="5D52C154" w14:textId="77777777" w:rsidR="00EB0CFB" w:rsidRDefault="00EB0CFB" w:rsidP="00EB0CFB">
      <w:pPr>
        <w:pStyle w:val="Odsekzoznamu"/>
        <w:numPr>
          <w:ilvl w:val="0"/>
          <w:numId w:val="5"/>
        </w:numPr>
      </w:pPr>
      <w:r>
        <w:t>položka 220 Administratívne poplatky zvýšenie o 50 </w:t>
      </w:r>
      <w:r w:rsidR="000F576E">
        <w:t>505</w:t>
      </w:r>
      <w:r>
        <w:t xml:space="preserve"> €</w:t>
      </w:r>
    </w:p>
    <w:p w14:paraId="4ACFAE8C" w14:textId="77777777" w:rsidR="00EB0CFB" w:rsidRDefault="00EB0CFB" w:rsidP="00EB0CFB">
      <w:pPr>
        <w:pStyle w:val="Odsekzoznamu"/>
        <w:numPr>
          <w:ilvl w:val="0"/>
          <w:numId w:val="5"/>
        </w:numPr>
      </w:pPr>
      <w:r>
        <w:t>položka 200 Nedaňové príjmy ZŠ a MŠ zvýšenie o 50 573 €</w:t>
      </w:r>
    </w:p>
    <w:p w14:paraId="1C681471" w14:textId="77777777" w:rsidR="00EB0CFB" w:rsidRPr="003E540F" w:rsidRDefault="00EB2807" w:rsidP="00EB0CFB">
      <w:pPr>
        <w:pStyle w:val="Odsekzoznamu"/>
        <w:numPr>
          <w:ilvl w:val="0"/>
          <w:numId w:val="5"/>
        </w:numPr>
      </w:pPr>
      <w:r>
        <w:t xml:space="preserve">položka 310 Tuzemské bežné granty a transfery </w:t>
      </w:r>
      <w:r w:rsidR="00110416" w:rsidRPr="003E540F">
        <w:t>zníženie v RO o 141 527 €</w:t>
      </w:r>
    </w:p>
    <w:p w14:paraId="5FE4F5E3" w14:textId="77777777" w:rsidR="00EB2807" w:rsidRDefault="00110416" w:rsidP="00EB0CFB">
      <w:pPr>
        <w:pStyle w:val="Odsekzoznamu"/>
        <w:numPr>
          <w:ilvl w:val="0"/>
          <w:numId w:val="5"/>
        </w:numPr>
      </w:pPr>
      <w:r>
        <w:t xml:space="preserve">položka 310 Tuzemské bežné granty </w:t>
      </w:r>
      <w:r w:rsidR="00A96FD0">
        <w:t>–</w:t>
      </w:r>
      <w:r>
        <w:t xml:space="preserve"> </w:t>
      </w:r>
      <w:r w:rsidR="00A96FD0">
        <w:t>dotácia na opatrovateľov 3000 €</w:t>
      </w:r>
    </w:p>
    <w:p w14:paraId="6DB9E033" w14:textId="77777777" w:rsidR="00A96FD0" w:rsidRDefault="00A96FD0" w:rsidP="00A96FD0">
      <w:pPr>
        <w:pStyle w:val="Odsekzoznamu"/>
        <w:numPr>
          <w:ilvl w:val="0"/>
          <w:numId w:val="5"/>
        </w:numPr>
      </w:pPr>
      <w:r>
        <w:t>položka 310 Tuzemské bežné granty – dotácia na II. vlnu Covid  55 261 €</w:t>
      </w:r>
    </w:p>
    <w:p w14:paraId="0EDB0376" w14:textId="77777777" w:rsidR="007378F2" w:rsidRDefault="00141FEA" w:rsidP="007378F2">
      <w:pPr>
        <w:pStyle w:val="Odsekzoznamu"/>
        <w:numPr>
          <w:ilvl w:val="0"/>
          <w:numId w:val="6"/>
        </w:numPr>
      </w:pPr>
      <w:r w:rsidRPr="00141FEA">
        <w:rPr>
          <w:b/>
          <w:bCs/>
        </w:rPr>
        <w:t>kapitálových príjmov o</w:t>
      </w:r>
      <w:r w:rsidR="003C0B0F">
        <w:rPr>
          <w:b/>
          <w:bCs/>
        </w:rPr>
        <w:t xml:space="preserve"> 14 114,00 </w:t>
      </w:r>
      <w:r w:rsidRPr="00141FEA">
        <w:rPr>
          <w:b/>
          <w:bCs/>
        </w:rPr>
        <w:t>€</w:t>
      </w:r>
      <w:r>
        <w:t xml:space="preserve"> nasledovne</w:t>
      </w:r>
    </w:p>
    <w:p w14:paraId="03206DF5" w14:textId="77777777" w:rsidR="00141FEA" w:rsidRDefault="00141FEA" w:rsidP="00141FEA">
      <w:pPr>
        <w:pStyle w:val="Odsekzoznamu"/>
        <w:numPr>
          <w:ilvl w:val="0"/>
          <w:numId w:val="5"/>
        </w:numPr>
      </w:pPr>
      <w:r w:rsidRPr="00141FEA">
        <w:t>položka</w:t>
      </w:r>
      <w:r>
        <w:t xml:space="preserve"> 3</w:t>
      </w:r>
      <w:r w:rsidR="002B1B69">
        <w:t>2</w:t>
      </w:r>
      <w:r>
        <w:t>0 kapitálové granty a transfery pre ZŠ Podzáhradná – nákup športových prvkov 2 998 €</w:t>
      </w:r>
    </w:p>
    <w:p w14:paraId="0E270A4D" w14:textId="77777777" w:rsidR="00141FEA" w:rsidRPr="00141FEA" w:rsidRDefault="002B1B69" w:rsidP="003C0B0F">
      <w:pPr>
        <w:pStyle w:val="Odsekzoznamu"/>
        <w:numPr>
          <w:ilvl w:val="0"/>
          <w:numId w:val="5"/>
        </w:numPr>
      </w:pPr>
      <w:r w:rsidRPr="00141FEA">
        <w:t>položka</w:t>
      </w:r>
      <w:r>
        <w:t xml:space="preserve"> 320 kapitálové granty a transfery z BSK na infraštruktúru cyklotrasy </w:t>
      </w:r>
      <w:r w:rsidR="003C0B0F">
        <w:t>11 116 €</w:t>
      </w:r>
    </w:p>
    <w:p w14:paraId="0AC2EB98" w14:textId="77777777" w:rsidR="00141FEA" w:rsidRPr="003C0B0F" w:rsidRDefault="003C0B0F" w:rsidP="007378F2">
      <w:pPr>
        <w:pStyle w:val="Odsekzoznamu"/>
        <w:numPr>
          <w:ilvl w:val="0"/>
          <w:numId w:val="6"/>
        </w:numPr>
        <w:rPr>
          <w:b/>
          <w:bCs/>
        </w:rPr>
      </w:pPr>
      <w:r w:rsidRPr="003C0B0F">
        <w:rPr>
          <w:b/>
          <w:bCs/>
        </w:rPr>
        <w:t xml:space="preserve">príjmových finančných operácií </w:t>
      </w:r>
      <w:r>
        <w:rPr>
          <w:b/>
          <w:bCs/>
        </w:rPr>
        <w:t>o</w:t>
      </w:r>
      <w:r w:rsidR="007B776B">
        <w:rPr>
          <w:b/>
          <w:bCs/>
        </w:rPr>
        <w:t> 22</w:t>
      </w:r>
      <w:r w:rsidR="00107AEB">
        <w:rPr>
          <w:b/>
          <w:bCs/>
        </w:rPr>
        <w:t>1</w:t>
      </w:r>
      <w:r w:rsidR="007B776B">
        <w:rPr>
          <w:b/>
          <w:bCs/>
        </w:rPr>
        <w:t> </w:t>
      </w:r>
      <w:r w:rsidR="00107AEB">
        <w:rPr>
          <w:b/>
          <w:bCs/>
        </w:rPr>
        <w:t>1</w:t>
      </w:r>
      <w:r w:rsidR="007B776B">
        <w:rPr>
          <w:b/>
          <w:bCs/>
        </w:rPr>
        <w:t xml:space="preserve">84,00 </w:t>
      </w:r>
      <w:r>
        <w:rPr>
          <w:b/>
          <w:bCs/>
        </w:rPr>
        <w:t>€</w:t>
      </w:r>
      <w:r w:rsidRPr="003C0B0F">
        <w:t>, nasledovne:</w:t>
      </w:r>
    </w:p>
    <w:p w14:paraId="72D4D280" w14:textId="77777777" w:rsidR="003C0B0F" w:rsidRDefault="003C0B0F" w:rsidP="003C0B0F">
      <w:pPr>
        <w:pStyle w:val="Odsekzoznamu"/>
        <w:numPr>
          <w:ilvl w:val="0"/>
          <w:numId w:val="5"/>
        </w:numPr>
      </w:pPr>
      <w:r w:rsidRPr="003C0B0F">
        <w:t>položka 450</w:t>
      </w:r>
      <w:r>
        <w:t xml:space="preserve"> Zostatky prostriedkov na vzdelávanie z ŠR </w:t>
      </w:r>
      <w:r w:rsidR="007B776B">
        <w:t>155 755 €(zdroj 131L)</w:t>
      </w:r>
    </w:p>
    <w:p w14:paraId="699C5FC0" w14:textId="77777777" w:rsidR="007B776B" w:rsidRDefault="007B776B" w:rsidP="003C0B0F">
      <w:pPr>
        <w:pStyle w:val="Odsekzoznamu"/>
        <w:numPr>
          <w:ilvl w:val="0"/>
          <w:numId w:val="5"/>
        </w:numPr>
      </w:pPr>
      <w:r w:rsidRPr="003C0B0F">
        <w:t>položka 450</w:t>
      </w:r>
      <w:r>
        <w:t xml:space="preserve"> Zostatky prostriedkov na školské stravovanie 64 729 </w:t>
      </w:r>
      <w:r w:rsidR="00CF7EFB">
        <w:t xml:space="preserve">€ </w:t>
      </w:r>
      <w:r>
        <w:t>(zdroj 72)</w:t>
      </w:r>
    </w:p>
    <w:p w14:paraId="2F122E47" w14:textId="77777777" w:rsidR="004B435B" w:rsidRPr="003C0B0F" w:rsidRDefault="004B435B" w:rsidP="003C0B0F">
      <w:pPr>
        <w:pStyle w:val="Odsekzoznamu"/>
        <w:numPr>
          <w:ilvl w:val="0"/>
          <w:numId w:val="5"/>
        </w:numPr>
      </w:pPr>
      <w:r>
        <w:t xml:space="preserve">položka 450 </w:t>
      </w:r>
      <w:r w:rsidR="00CF7EFB">
        <w:t>Zostatky prostriedkov na zábezpeky nájomné 700 € (zdroj 71)</w:t>
      </w:r>
    </w:p>
    <w:p w14:paraId="6786385A" w14:textId="77777777" w:rsidR="00141FEA" w:rsidRDefault="00141FEA" w:rsidP="0078301C">
      <w:pPr>
        <w:pStyle w:val="Odsekzoznamu"/>
        <w:ind w:left="1440"/>
      </w:pPr>
    </w:p>
    <w:p w14:paraId="232CB761" w14:textId="77777777" w:rsidR="00B973EF" w:rsidRPr="006F5BFA" w:rsidRDefault="008B790C" w:rsidP="0078301C">
      <w:pPr>
        <w:pStyle w:val="Odsekzoznamu"/>
        <w:numPr>
          <w:ilvl w:val="0"/>
          <w:numId w:val="4"/>
        </w:numPr>
      </w:pPr>
      <w:r w:rsidRPr="0078301C">
        <w:rPr>
          <w:b/>
          <w:bCs/>
        </w:rPr>
        <w:t>zvýšenie</w:t>
      </w:r>
      <w:r w:rsidR="00B973EF">
        <w:rPr>
          <w:b/>
          <w:bCs/>
        </w:rPr>
        <w:t xml:space="preserve"> celkových výdavkov </w:t>
      </w:r>
      <w:r>
        <w:t xml:space="preserve"> </w:t>
      </w:r>
      <w:r w:rsidR="006F5BFA">
        <w:rPr>
          <w:b/>
          <w:bCs/>
        </w:rPr>
        <w:t>Programového rozpočtu mestskej časti Bratislava – Podunajské Biskupice na rok 2022</w:t>
      </w:r>
      <w:r w:rsidR="00B973EF">
        <w:rPr>
          <w:b/>
          <w:bCs/>
        </w:rPr>
        <w:t xml:space="preserve"> o</w:t>
      </w:r>
      <w:r w:rsidR="006F5BFA">
        <w:rPr>
          <w:b/>
          <w:bCs/>
        </w:rPr>
        <w:t xml:space="preserve"> 513 910 </w:t>
      </w:r>
      <w:r w:rsidR="00B973EF">
        <w:rPr>
          <w:b/>
          <w:bCs/>
        </w:rPr>
        <w:t xml:space="preserve">€, </w:t>
      </w:r>
      <w:r w:rsidR="00B973EF" w:rsidRPr="00B973EF">
        <w:t>nasledovne</w:t>
      </w:r>
      <w:r w:rsidR="00B973EF">
        <w:t>:</w:t>
      </w:r>
      <w:r w:rsidR="00B973EF">
        <w:rPr>
          <w:b/>
          <w:bCs/>
        </w:rPr>
        <w:t xml:space="preserve"> </w:t>
      </w:r>
    </w:p>
    <w:p w14:paraId="0583C02F" w14:textId="77777777" w:rsidR="006F5BFA" w:rsidRPr="00B973EF" w:rsidRDefault="006F5BFA" w:rsidP="006F5BFA">
      <w:pPr>
        <w:pStyle w:val="Odsekzoznamu"/>
        <w:ind w:left="1080"/>
      </w:pPr>
    </w:p>
    <w:p w14:paraId="2A708A8A" w14:textId="77777777" w:rsidR="00EC3BD4" w:rsidRDefault="008B790C" w:rsidP="00B973EF">
      <w:pPr>
        <w:pStyle w:val="Odsekzoznamu"/>
        <w:numPr>
          <w:ilvl w:val="0"/>
          <w:numId w:val="7"/>
        </w:numPr>
      </w:pPr>
      <w:r w:rsidRPr="0078301C">
        <w:rPr>
          <w:b/>
          <w:bCs/>
        </w:rPr>
        <w:t xml:space="preserve">bežných výdavkov </w:t>
      </w:r>
      <w:r w:rsidR="000A6F5B">
        <w:rPr>
          <w:b/>
          <w:bCs/>
        </w:rPr>
        <w:t>položka</w:t>
      </w:r>
      <w:r w:rsidR="002D4466">
        <w:rPr>
          <w:b/>
          <w:bCs/>
        </w:rPr>
        <w:t xml:space="preserve"> 600 - </w:t>
      </w:r>
      <w:r w:rsidR="0078301C">
        <w:rPr>
          <w:b/>
          <w:bCs/>
        </w:rPr>
        <w:t xml:space="preserve">rozpočtových organizácií </w:t>
      </w:r>
      <w:r w:rsidR="0078301C" w:rsidRPr="0078301C">
        <w:t>v zriaďovateľskej pôsobnosti mestskej časti Bratislava – Podunajské Biskupice</w:t>
      </w:r>
      <w:r w:rsidR="0078301C">
        <w:rPr>
          <w:b/>
          <w:bCs/>
        </w:rPr>
        <w:t xml:space="preserve"> </w:t>
      </w:r>
      <w:r w:rsidR="00F74A66">
        <w:rPr>
          <w:b/>
          <w:bCs/>
        </w:rPr>
        <w:t xml:space="preserve">v programe 8. Vzdelávanie </w:t>
      </w:r>
      <w:r w:rsidR="00B52CE9" w:rsidRPr="0078301C">
        <w:rPr>
          <w:b/>
          <w:bCs/>
        </w:rPr>
        <w:t>o </w:t>
      </w:r>
      <w:r w:rsidR="0078301C">
        <w:rPr>
          <w:b/>
          <w:bCs/>
        </w:rPr>
        <w:t>495</w:t>
      </w:r>
      <w:r w:rsidR="00B52CE9" w:rsidRPr="0078301C">
        <w:rPr>
          <w:b/>
          <w:bCs/>
        </w:rPr>
        <w:t>.</w:t>
      </w:r>
      <w:r w:rsidR="0078301C">
        <w:rPr>
          <w:b/>
          <w:bCs/>
        </w:rPr>
        <w:t>496</w:t>
      </w:r>
      <w:r w:rsidR="00B52CE9" w:rsidRPr="0078301C">
        <w:rPr>
          <w:b/>
          <w:bCs/>
        </w:rPr>
        <w:t xml:space="preserve"> € </w:t>
      </w:r>
      <w:r w:rsidR="00020FAC">
        <w:t xml:space="preserve"> na rok 2022</w:t>
      </w:r>
      <w:r w:rsidR="00B52CE9">
        <w:t xml:space="preserve"> </w:t>
      </w:r>
      <w:r w:rsidR="00236077" w:rsidRPr="0078301C">
        <w:rPr>
          <w:b/>
          <w:bCs/>
        </w:rPr>
        <w:t>nasledovne</w:t>
      </w:r>
      <w:r w:rsidR="00236077">
        <w:t>:</w:t>
      </w:r>
    </w:p>
    <w:p w14:paraId="3A7FA434" w14:textId="77777777" w:rsidR="006D2D95" w:rsidRDefault="00F74A66" w:rsidP="006D2D95">
      <w:pPr>
        <w:pStyle w:val="Odsekzoznamu"/>
        <w:numPr>
          <w:ilvl w:val="0"/>
          <w:numId w:val="5"/>
        </w:numPr>
      </w:pPr>
      <w:r>
        <w:t>v programe 81- predškolská výchova, FK</w:t>
      </w:r>
      <w:r w:rsidR="006D2D95">
        <w:t xml:space="preserve"> </w:t>
      </w:r>
      <w:r w:rsidR="006D2D95" w:rsidRPr="00307E75">
        <w:t xml:space="preserve">09.1.1.1.  Predprimárne vzdelávanie s bežnou starostlivosťou </w:t>
      </w:r>
      <w:r>
        <w:t xml:space="preserve">- </w:t>
      </w:r>
      <w:r w:rsidR="006D2D95" w:rsidRPr="00307E75">
        <w:t xml:space="preserve">MŠ </w:t>
      </w:r>
      <w:r w:rsidR="000A6F5B">
        <w:t xml:space="preserve">zvýšenie </w:t>
      </w:r>
      <w:r w:rsidR="006D2D95" w:rsidRPr="00307E75">
        <w:t>o 128 981 €</w:t>
      </w:r>
    </w:p>
    <w:p w14:paraId="4DCB3116" w14:textId="77777777" w:rsidR="001C3E87" w:rsidRDefault="001C3E87" w:rsidP="001C3E87">
      <w:pPr>
        <w:pStyle w:val="Odsekzoznamu"/>
        <w:numPr>
          <w:ilvl w:val="0"/>
          <w:numId w:val="5"/>
        </w:numPr>
      </w:pPr>
      <w:r w:rsidRPr="00307E75">
        <w:t>program</w:t>
      </w:r>
      <w:r>
        <w:t>e 82 -  základné vzdelávanie, FK</w:t>
      </w:r>
      <w:r w:rsidRPr="00307E75">
        <w:t xml:space="preserve"> </w:t>
      </w:r>
      <w:r w:rsidRPr="006D2D95">
        <w:t xml:space="preserve">09.2.1.1.  Nižšie sekundárne </w:t>
      </w:r>
      <w:r>
        <w:t xml:space="preserve">  </w:t>
      </w:r>
    </w:p>
    <w:p w14:paraId="0726FCCD" w14:textId="77777777" w:rsidR="001C3E87" w:rsidRDefault="001C3E87" w:rsidP="001C3E87">
      <w:pPr>
        <w:pStyle w:val="Odsekzoznamu"/>
        <w:ind w:left="1210"/>
      </w:pPr>
      <w:r w:rsidRPr="006D2D95">
        <w:t xml:space="preserve">vzdelávanie všeobecné </w:t>
      </w:r>
      <w:r>
        <w:t xml:space="preserve">I. stupeň ZŠ a  </w:t>
      </w:r>
      <w:r w:rsidRPr="00307E75">
        <w:t xml:space="preserve">09.1.2.1.  Primárne vzdelávanie s bežnou </w:t>
      </w:r>
    </w:p>
    <w:p w14:paraId="7DBCF5D9" w14:textId="77777777" w:rsidR="001C3E87" w:rsidRDefault="001C3E87" w:rsidP="001C3E87">
      <w:pPr>
        <w:pStyle w:val="Odsekzoznamu"/>
        <w:ind w:left="1210"/>
      </w:pPr>
      <w:r>
        <w:t xml:space="preserve"> </w:t>
      </w:r>
      <w:r w:rsidRPr="00307E75">
        <w:t xml:space="preserve">starostlivosťou – </w:t>
      </w:r>
      <w:r>
        <w:t>II. stupeň ZŠ</w:t>
      </w:r>
      <w:r w:rsidRPr="00307E75">
        <w:t xml:space="preserve"> zvýšenie </w:t>
      </w:r>
      <w:r>
        <w:t xml:space="preserve"> </w:t>
      </w:r>
      <w:r w:rsidRPr="00307E75">
        <w:t>o 94 704 €</w:t>
      </w:r>
    </w:p>
    <w:p w14:paraId="55307A92" w14:textId="77777777" w:rsidR="001C3E87" w:rsidRDefault="001C3E87" w:rsidP="006D2D95">
      <w:pPr>
        <w:pStyle w:val="Odsekzoznamu"/>
        <w:numPr>
          <w:ilvl w:val="0"/>
          <w:numId w:val="5"/>
        </w:numPr>
      </w:pPr>
      <w:r>
        <w:t xml:space="preserve">v programe 83 – školské stravovanie, FK </w:t>
      </w:r>
      <w:r w:rsidRPr="00307E75">
        <w:t>09.</w:t>
      </w:r>
      <w:r>
        <w:t>5</w:t>
      </w:r>
      <w:r w:rsidRPr="00307E75">
        <w:t>.</w:t>
      </w:r>
      <w:r>
        <w:t>0Vzdelávanie nedefinované podľa úrovne</w:t>
      </w:r>
      <w:r w:rsidR="000A6F5B">
        <w:t xml:space="preserve"> zvýšenie</w:t>
      </w:r>
      <w:r w:rsidRPr="00307E75">
        <w:t xml:space="preserve"> o</w:t>
      </w:r>
      <w:r>
        <w:t> 137 407</w:t>
      </w:r>
      <w:r w:rsidRPr="00307E75">
        <w:t xml:space="preserve"> €</w:t>
      </w:r>
    </w:p>
    <w:p w14:paraId="3FDB0CE1" w14:textId="77777777" w:rsidR="001C3E87" w:rsidRDefault="001C3E87" w:rsidP="001C3E87">
      <w:pPr>
        <w:pStyle w:val="Odsekzoznamu"/>
        <w:numPr>
          <w:ilvl w:val="0"/>
          <w:numId w:val="5"/>
        </w:numPr>
      </w:pPr>
      <w:r>
        <w:t xml:space="preserve">v programe 84 – školský klub detí, FK 09.6.0 Vedľajšie služby v školstve </w:t>
      </w:r>
      <w:r w:rsidR="000A6F5B">
        <w:t>zvýšenie</w:t>
      </w:r>
      <w:r>
        <w:t xml:space="preserve">  o 134 404 €</w:t>
      </w:r>
    </w:p>
    <w:p w14:paraId="5189E569" w14:textId="77777777" w:rsidR="004E563D" w:rsidRPr="004E563D" w:rsidRDefault="004E563D" w:rsidP="004E563D">
      <w:pPr>
        <w:pStyle w:val="Odsekzoznamu"/>
        <w:numPr>
          <w:ilvl w:val="0"/>
          <w:numId w:val="7"/>
        </w:numPr>
        <w:rPr>
          <w:b/>
          <w:bCs/>
        </w:rPr>
      </w:pPr>
      <w:r w:rsidRPr="004E563D">
        <w:rPr>
          <w:b/>
          <w:bCs/>
        </w:rPr>
        <w:t xml:space="preserve">kapitálových výdavkov </w:t>
      </w:r>
      <w:r w:rsidR="00107AEB">
        <w:rPr>
          <w:b/>
          <w:bCs/>
        </w:rPr>
        <w:t xml:space="preserve">EK 700 </w:t>
      </w:r>
      <w:r>
        <w:rPr>
          <w:b/>
          <w:bCs/>
        </w:rPr>
        <w:t>o</w:t>
      </w:r>
      <w:r w:rsidR="00107AEB">
        <w:rPr>
          <w:b/>
          <w:bCs/>
        </w:rPr>
        <w:t> 17 714</w:t>
      </w:r>
      <w:r>
        <w:rPr>
          <w:b/>
          <w:bCs/>
        </w:rPr>
        <w:t xml:space="preserve"> €, </w:t>
      </w:r>
      <w:r w:rsidRPr="004E563D">
        <w:t>nasledovne:</w:t>
      </w:r>
    </w:p>
    <w:p w14:paraId="3232C689" w14:textId="77777777" w:rsidR="004E563D" w:rsidRDefault="004E563D" w:rsidP="004E563D">
      <w:pPr>
        <w:pStyle w:val="Odsekzoznamu"/>
        <w:numPr>
          <w:ilvl w:val="0"/>
          <w:numId w:val="5"/>
        </w:numPr>
      </w:pPr>
      <w:r w:rsidRPr="004E563D">
        <w:lastRenderedPageBreak/>
        <w:t>zvýšenie kapitálových výdavkov ZŠ Podzáhradná na nákup športových prvkov 2 998 €</w:t>
      </w:r>
    </w:p>
    <w:p w14:paraId="60F743FE" w14:textId="77777777" w:rsidR="004E563D" w:rsidRPr="004E563D" w:rsidRDefault="004E563D" w:rsidP="004E563D">
      <w:pPr>
        <w:pStyle w:val="Odsekzoznamu"/>
        <w:numPr>
          <w:ilvl w:val="0"/>
          <w:numId w:val="5"/>
        </w:numPr>
      </w:pPr>
      <w:r>
        <w:t xml:space="preserve">zvýšenie kapitálových výdavkov </w:t>
      </w:r>
      <w:r w:rsidR="00CE51FA">
        <w:t>M</w:t>
      </w:r>
      <w:r>
        <w:t xml:space="preserve">Š Linzbothova </w:t>
      </w:r>
      <w:r w:rsidR="004B435B">
        <w:t>o 3 600 € ( krytie z vlastných príjmov )</w:t>
      </w:r>
      <w:r>
        <w:t xml:space="preserve">  - </w:t>
      </w:r>
      <w:r w:rsidR="004B435B">
        <w:t>nákup umývačky riadu do školskej jedálne</w:t>
      </w:r>
    </w:p>
    <w:p w14:paraId="08F85965" w14:textId="77777777" w:rsidR="004E563D" w:rsidRDefault="004E563D" w:rsidP="004E563D">
      <w:pPr>
        <w:pStyle w:val="Odsekzoznamu"/>
        <w:numPr>
          <w:ilvl w:val="0"/>
          <w:numId w:val="5"/>
        </w:numPr>
      </w:pPr>
      <w:r w:rsidRPr="004E563D">
        <w:t>zvýšenie kapitálových výdavkov</w:t>
      </w:r>
      <w:r w:rsidR="004B435B">
        <w:t xml:space="preserve"> z</w:t>
      </w:r>
      <w:r>
        <w:rPr>
          <w:b/>
          <w:bCs/>
        </w:rPr>
        <w:t xml:space="preserve"> </w:t>
      </w:r>
      <w:r>
        <w:t>BSK na infraštruktúru cyklotrasy 11 116 €</w:t>
      </w:r>
    </w:p>
    <w:p w14:paraId="3A8A1D4E" w14:textId="77777777" w:rsidR="006F5BFA" w:rsidRPr="00141FEA" w:rsidRDefault="006F5BFA" w:rsidP="006F5BFA">
      <w:pPr>
        <w:pStyle w:val="Odsekzoznamu"/>
        <w:ind w:left="1210"/>
      </w:pPr>
    </w:p>
    <w:p w14:paraId="5F931A37" w14:textId="77777777" w:rsidR="004E563D" w:rsidRPr="004E563D" w:rsidRDefault="00CF7EFB" w:rsidP="004E563D">
      <w:pPr>
        <w:pStyle w:val="Odsekzoznamu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zvýšenie výdavkových finančných operácií o 700 € </w:t>
      </w:r>
      <w:r w:rsidR="00107AEB">
        <w:rPr>
          <w:b/>
          <w:bCs/>
        </w:rPr>
        <w:t>na vratky zábezpeky na nájom bytov</w:t>
      </w:r>
    </w:p>
    <w:p w14:paraId="2961AADD" w14:textId="77777777" w:rsidR="004E563D" w:rsidRPr="004E563D" w:rsidRDefault="004E563D" w:rsidP="004E563D">
      <w:pPr>
        <w:pStyle w:val="Odsekzoznamu"/>
        <w:ind w:left="1440"/>
        <w:rPr>
          <w:b/>
          <w:bCs/>
        </w:rPr>
      </w:pPr>
    </w:p>
    <w:p w14:paraId="22E4B5EE" w14:textId="77777777" w:rsidR="00F150E0" w:rsidRDefault="00F74A66" w:rsidP="00F150E0">
      <w:r>
        <w:t xml:space="preserve">                   </w:t>
      </w:r>
      <w:r w:rsidR="00F150E0">
        <w:t xml:space="preserve">                  </w:t>
      </w:r>
    </w:p>
    <w:p w14:paraId="3B24368A" w14:textId="77777777" w:rsidR="00F150E0" w:rsidRDefault="00F150E0" w:rsidP="00F150E0">
      <w:pPr>
        <w:pStyle w:val="Odsekzoznamu"/>
        <w:numPr>
          <w:ilvl w:val="0"/>
          <w:numId w:val="10"/>
        </w:numPr>
      </w:pPr>
      <w:r w:rsidRPr="00906A9C">
        <w:t>zmenu Programového rozpočtu mestskej časti Bratislava – Podunajské</w:t>
      </w:r>
      <w:r>
        <w:t xml:space="preserve"> Biskupice  na rok 2022 podľa bodu č. 2, </w:t>
      </w:r>
    </w:p>
    <w:p w14:paraId="774D261E" w14:textId="77777777" w:rsidR="00F150E0" w:rsidRDefault="00F150E0" w:rsidP="00F150E0"/>
    <w:p w14:paraId="65BC52DE" w14:textId="77777777" w:rsidR="00F150E0" w:rsidRPr="00307E75" w:rsidRDefault="00F150E0" w:rsidP="00F150E0">
      <w:pPr>
        <w:pStyle w:val="Odsekzoznamu"/>
        <w:numPr>
          <w:ilvl w:val="0"/>
          <w:numId w:val="5"/>
        </w:numPr>
      </w:pPr>
      <w:r w:rsidRPr="00E20D75">
        <w:rPr>
          <w:b/>
          <w:bCs/>
        </w:rPr>
        <w:t>zvýšenie bežných výdavkov v položke  600 o 1</w:t>
      </w:r>
      <w:r>
        <w:rPr>
          <w:b/>
          <w:bCs/>
        </w:rPr>
        <w:t>3</w:t>
      </w:r>
      <w:r w:rsidRPr="00E20D75">
        <w:rPr>
          <w:b/>
          <w:bCs/>
        </w:rPr>
        <w:t xml:space="preserve">9 200 € </w:t>
      </w:r>
      <w:r>
        <w:t xml:space="preserve"> na rok 2022 </w:t>
      </w:r>
      <w:r w:rsidRPr="00E20D75">
        <w:rPr>
          <w:b/>
          <w:bCs/>
        </w:rPr>
        <w:t>nasledovne</w:t>
      </w:r>
      <w:r>
        <w:t>:</w:t>
      </w:r>
    </w:p>
    <w:p w14:paraId="04C4062A" w14:textId="77777777" w:rsidR="00F150E0" w:rsidRDefault="00F150E0" w:rsidP="00F150E0"/>
    <w:p w14:paraId="6F2D21DE" w14:textId="77777777" w:rsidR="00F150E0" w:rsidRDefault="00F150E0" w:rsidP="00F150E0">
      <w:pPr>
        <w:pStyle w:val="Odsekzoznamu"/>
        <w:numPr>
          <w:ilvl w:val="0"/>
          <w:numId w:val="3"/>
        </w:numPr>
      </w:pPr>
      <w:r>
        <w:t xml:space="preserve">zvýšenie bežných výdavkov, </w:t>
      </w:r>
      <w:r w:rsidRPr="00972320">
        <w:rPr>
          <w:b/>
          <w:bCs/>
        </w:rPr>
        <w:t>v programe 3.5 Prevádzka a údržba budov</w:t>
      </w:r>
      <w:r>
        <w:t xml:space="preserve">, položka 637 – tovary a služby na krytie výdavkov </w:t>
      </w:r>
      <w:r w:rsidRPr="0097241C">
        <w:rPr>
          <w:b/>
          <w:bCs/>
        </w:rPr>
        <w:t>na poistenie</w:t>
      </w:r>
      <w:r>
        <w:t xml:space="preserve"> nehnuteľného a hnuteľného majetku </w:t>
      </w:r>
      <w:r w:rsidRPr="00972320">
        <w:rPr>
          <w:b/>
          <w:bCs/>
        </w:rPr>
        <w:t>11 200</w:t>
      </w:r>
      <w:r>
        <w:t xml:space="preserve"> €</w:t>
      </w:r>
    </w:p>
    <w:p w14:paraId="31792CB9" w14:textId="77777777" w:rsidR="00F150E0" w:rsidRDefault="00F150E0" w:rsidP="00F150E0"/>
    <w:p w14:paraId="10B57E6A" w14:textId="77777777" w:rsidR="00F150E0" w:rsidRDefault="00F150E0" w:rsidP="00F150E0">
      <w:pPr>
        <w:pStyle w:val="Odsekzoznamu"/>
        <w:numPr>
          <w:ilvl w:val="0"/>
          <w:numId w:val="3"/>
        </w:numPr>
      </w:pPr>
      <w:r>
        <w:t xml:space="preserve">zvýšenie bežných výdavkov, v programe </w:t>
      </w:r>
      <w:r w:rsidRPr="00972320">
        <w:rPr>
          <w:b/>
          <w:bCs/>
        </w:rPr>
        <w:t>10.1 Podpora a organizovanie kultúrnych</w:t>
      </w:r>
      <w:r>
        <w:t xml:space="preserve"> programov, položka 630 – tovary a služby na podporu kultúrnych podujatí </w:t>
      </w:r>
      <w:r w:rsidRPr="00972320">
        <w:rPr>
          <w:b/>
          <w:bCs/>
        </w:rPr>
        <w:t>o 20 000 €</w:t>
      </w:r>
    </w:p>
    <w:p w14:paraId="1DBF6DBE" w14:textId="77777777" w:rsidR="00F150E0" w:rsidRDefault="00F150E0" w:rsidP="00F150E0">
      <w:pPr>
        <w:pStyle w:val="Odsekzoznamu"/>
        <w:ind w:left="1080"/>
      </w:pPr>
    </w:p>
    <w:p w14:paraId="53E1E591" w14:textId="77777777" w:rsidR="00F150E0" w:rsidRPr="00972320" w:rsidRDefault="00F150E0" w:rsidP="00F150E0">
      <w:pPr>
        <w:pStyle w:val="Odsekzoznamu"/>
        <w:numPr>
          <w:ilvl w:val="0"/>
          <w:numId w:val="3"/>
        </w:numPr>
        <w:rPr>
          <w:b/>
          <w:bCs/>
        </w:rPr>
      </w:pPr>
      <w:r>
        <w:t xml:space="preserve">zvýšenie bežných výdavkov, </w:t>
      </w:r>
      <w:r w:rsidRPr="00060A85">
        <w:rPr>
          <w:b/>
          <w:bCs/>
        </w:rPr>
        <w:t>v programe 11.3 Verejná zeleň</w:t>
      </w:r>
      <w:r>
        <w:t xml:space="preserve">, položka 630 – tovary a služby </w:t>
      </w:r>
      <w:r w:rsidRPr="00972320">
        <w:rPr>
          <w:b/>
          <w:bCs/>
        </w:rPr>
        <w:t>o 69 000 €</w:t>
      </w:r>
    </w:p>
    <w:p w14:paraId="1C30D9D3" w14:textId="77777777" w:rsidR="00F150E0" w:rsidRDefault="00F150E0" w:rsidP="00F150E0">
      <w:pPr>
        <w:pStyle w:val="Odsekzoznamu"/>
        <w:numPr>
          <w:ilvl w:val="0"/>
          <w:numId w:val="5"/>
        </w:numPr>
      </w:pPr>
      <w:r>
        <w:t>na orezy stromov 14 000 €</w:t>
      </w:r>
    </w:p>
    <w:p w14:paraId="19212795" w14:textId="77777777" w:rsidR="00F150E0" w:rsidRDefault="00F150E0" w:rsidP="00F150E0">
      <w:pPr>
        <w:pStyle w:val="Odsekzoznamu"/>
        <w:numPr>
          <w:ilvl w:val="0"/>
          <w:numId w:val="5"/>
        </w:numPr>
      </w:pPr>
      <w:r>
        <w:t>na kosenie verejnej zelene 55 000 €</w:t>
      </w:r>
    </w:p>
    <w:p w14:paraId="27F82DE3" w14:textId="77777777" w:rsidR="00F150E0" w:rsidRDefault="00F150E0" w:rsidP="00F150E0">
      <w:pPr>
        <w:pStyle w:val="Odsekzoznamu"/>
        <w:ind w:left="1210"/>
      </w:pPr>
    </w:p>
    <w:p w14:paraId="77051E20" w14:textId="77777777" w:rsidR="00F150E0" w:rsidRDefault="00F150E0" w:rsidP="00F150E0">
      <w:pPr>
        <w:pStyle w:val="Odsekzoznamu"/>
        <w:numPr>
          <w:ilvl w:val="0"/>
          <w:numId w:val="3"/>
        </w:numPr>
      </w:pPr>
      <w:r>
        <w:t>zvýšenie bežných výdavkov v programe 12.6 Príspevok na stravovanie dôchodcov  položka 642 – transfery jednotlivcom o sumu 18 000 €</w:t>
      </w:r>
    </w:p>
    <w:p w14:paraId="1A61A877" w14:textId="77777777" w:rsidR="00F150E0" w:rsidRDefault="00F150E0" w:rsidP="00F150E0">
      <w:pPr>
        <w:pStyle w:val="Odsekzoznamu"/>
        <w:ind w:left="1080"/>
      </w:pPr>
    </w:p>
    <w:p w14:paraId="2F889401" w14:textId="77777777" w:rsidR="00F150E0" w:rsidRDefault="00F150E0" w:rsidP="00F150E0">
      <w:pPr>
        <w:pStyle w:val="Odsekzoznamu"/>
        <w:numPr>
          <w:ilvl w:val="0"/>
          <w:numId w:val="3"/>
        </w:numPr>
      </w:pPr>
      <w:r>
        <w:t xml:space="preserve">zvýšenie bežných výdavkov </w:t>
      </w:r>
      <w:r w:rsidRPr="00060A85">
        <w:rPr>
          <w:b/>
          <w:bCs/>
        </w:rPr>
        <w:t>v programe</w:t>
      </w:r>
      <w:r>
        <w:t xml:space="preserve"> </w:t>
      </w:r>
      <w:r w:rsidRPr="00060A85">
        <w:rPr>
          <w:b/>
          <w:bCs/>
        </w:rPr>
        <w:t>12.7 Sociálne zabezpečenie inde</w:t>
      </w:r>
      <w:r>
        <w:t xml:space="preserve"> neklasifikované, položka 642 - transfery jednotlivcom a neziskovým PO </w:t>
      </w:r>
      <w:r w:rsidRPr="00060A85">
        <w:rPr>
          <w:b/>
          <w:bCs/>
        </w:rPr>
        <w:t>o 6000 €</w:t>
      </w:r>
      <w:r>
        <w:t xml:space="preserve"> pre žiakov 1.ročníka s trvalým pobytom na území mestskej časti.</w:t>
      </w:r>
    </w:p>
    <w:p w14:paraId="25A2BBBD" w14:textId="77777777" w:rsidR="00F150E0" w:rsidRDefault="00F150E0" w:rsidP="00F150E0">
      <w:pPr>
        <w:pStyle w:val="Odsekzoznamu"/>
      </w:pPr>
    </w:p>
    <w:p w14:paraId="6F08FF2C" w14:textId="77777777" w:rsidR="00F150E0" w:rsidRDefault="00F150E0" w:rsidP="00F150E0">
      <w:pPr>
        <w:pStyle w:val="Odsekzoznamu"/>
        <w:numPr>
          <w:ilvl w:val="0"/>
          <w:numId w:val="3"/>
        </w:numPr>
      </w:pPr>
      <w:r>
        <w:t xml:space="preserve">zvýšenie bežných výdavkov </w:t>
      </w:r>
      <w:r w:rsidRPr="00060A85">
        <w:rPr>
          <w:b/>
          <w:bCs/>
        </w:rPr>
        <w:t>v programe 13.1 Podporná činnosť správa MČ</w:t>
      </w:r>
      <w:r>
        <w:t xml:space="preserve">,  Položka 600 – bežné výdavky </w:t>
      </w:r>
      <w:r w:rsidRPr="00060A85">
        <w:rPr>
          <w:b/>
          <w:bCs/>
        </w:rPr>
        <w:t>o 15 000 €</w:t>
      </w:r>
    </w:p>
    <w:p w14:paraId="4732400F" w14:textId="77777777" w:rsidR="00F150E0" w:rsidRDefault="00F150E0" w:rsidP="00F150E0">
      <w:pPr>
        <w:pStyle w:val="Odsekzoznamu"/>
        <w:numPr>
          <w:ilvl w:val="0"/>
          <w:numId w:val="5"/>
        </w:numPr>
      </w:pPr>
      <w:r w:rsidRPr="002B3E43">
        <w:t>zvýšenie výdavkov</w:t>
      </w:r>
      <w:r>
        <w:t xml:space="preserve"> v programe 13.1</w:t>
      </w:r>
      <w:r w:rsidRPr="002B3E43">
        <w:t xml:space="preserve"> na príspevok </w:t>
      </w:r>
      <w:r w:rsidRPr="00972320">
        <w:rPr>
          <w:b/>
          <w:bCs/>
        </w:rPr>
        <w:t>na stravovanie</w:t>
      </w:r>
      <w:r w:rsidRPr="002B3E43">
        <w:t xml:space="preserve"> vlastných zamestnancov o </w:t>
      </w:r>
      <w:r w:rsidRPr="00972320">
        <w:rPr>
          <w:b/>
          <w:bCs/>
        </w:rPr>
        <w:t>10 000 €</w:t>
      </w:r>
      <w:r w:rsidRPr="002B3E43">
        <w:t xml:space="preserve"> na položke 642 014 Transfery</w:t>
      </w:r>
    </w:p>
    <w:p w14:paraId="6DD049B3" w14:textId="77777777" w:rsidR="00F150E0" w:rsidRDefault="00F150E0" w:rsidP="00F150E0">
      <w:pPr>
        <w:pStyle w:val="Odsekzoznamu"/>
        <w:numPr>
          <w:ilvl w:val="0"/>
          <w:numId w:val="5"/>
        </w:numPr>
      </w:pPr>
      <w:r>
        <w:t>presun</w:t>
      </w:r>
      <w:r w:rsidRPr="002B3E43">
        <w:t xml:space="preserve"> výdavkov </w:t>
      </w:r>
      <w:r>
        <w:t>v programe 13.1 v sume 5000 € z položky 637 014 Stravovanie na</w:t>
      </w:r>
      <w:r w:rsidRPr="002B3E43">
        <w:t xml:space="preserve"> položk</w:t>
      </w:r>
      <w:r>
        <w:t>u</w:t>
      </w:r>
      <w:r w:rsidRPr="002B3E43">
        <w:t xml:space="preserve"> </w:t>
      </w:r>
      <w:r>
        <w:t>642 014</w:t>
      </w:r>
      <w:r w:rsidRPr="002B3E43">
        <w:t xml:space="preserve"> </w:t>
      </w:r>
      <w:r>
        <w:t xml:space="preserve">Transfery jednotlivom </w:t>
      </w:r>
    </w:p>
    <w:p w14:paraId="6AA85874" w14:textId="77777777" w:rsidR="00F150E0" w:rsidRPr="00C30B2F" w:rsidRDefault="00F150E0" w:rsidP="00F150E0">
      <w:pPr>
        <w:pStyle w:val="Odsekzoznamu"/>
        <w:numPr>
          <w:ilvl w:val="0"/>
          <w:numId w:val="5"/>
        </w:numPr>
      </w:pPr>
      <w:r w:rsidRPr="00C30B2F">
        <w:t xml:space="preserve">navýšenie výdavkov na položke 637 012 </w:t>
      </w:r>
      <w:r w:rsidRPr="00972320">
        <w:rPr>
          <w:b/>
          <w:bCs/>
        </w:rPr>
        <w:t>Poplatky a odvody o 5 000</w:t>
      </w:r>
      <w:r w:rsidRPr="00C30B2F">
        <w:t xml:space="preserve"> €  </w:t>
      </w:r>
    </w:p>
    <w:p w14:paraId="575640DE" w14:textId="77777777" w:rsidR="008B790C" w:rsidRDefault="008B790C" w:rsidP="00020FAC">
      <w:pPr>
        <w:ind w:left="720"/>
      </w:pPr>
    </w:p>
    <w:p w14:paraId="23035F9D" w14:textId="77777777" w:rsidR="00E4174A" w:rsidRDefault="00E4174A" w:rsidP="00020FAC">
      <w:pPr>
        <w:ind w:left="720"/>
      </w:pPr>
    </w:p>
    <w:p w14:paraId="5377D124" w14:textId="77777777" w:rsidR="00E4174A" w:rsidRDefault="00E4174A" w:rsidP="00020FAC">
      <w:pPr>
        <w:ind w:left="720"/>
      </w:pPr>
    </w:p>
    <w:p w14:paraId="369F3A61" w14:textId="77777777" w:rsidR="002A2690" w:rsidRDefault="002A2690" w:rsidP="00BA7618">
      <w:pPr>
        <w:pStyle w:val="Odsekzoznamu"/>
        <w:numPr>
          <w:ilvl w:val="0"/>
          <w:numId w:val="10"/>
        </w:numPr>
      </w:pPr>
      <w:r>
        <w:t>zmenu</w:t>
      </w:r>
      <w:r w:rsidR="00020FAC">
        <w:t xml:space="preserve"> Programového</w:t>
      </w:r>
      <w:r w:rsidR="00BA7618">
        <w:t xml:space="preserve"> rozpočtu</w:t>
      </w:r>
      <w:r w:rsidR="00020FAC">
        <w:t xml:space="preserve"> mestskej časti Bratislava – Podunajské Biskupice  na rok 2022 </w:t>
      </w:r>
      <w:r>
        <w:t>podľa bodu č.</w:t>
      </w:r>
      <w:r w:rsidR="00BA7618">
        <w:t>3</w:t>
      </w:r>
      <w:r w:rsidR="003A5062">
        <w:t xml:space="preserve"> </w:t>
      </w:r>
    </w:p>
    <w:p w14:paraId="158F6F16" w14:textId="77777777" w:rsidR="00664024" w:rsidRDefault="00664024" w:rsidP="00594C06">
      <w:pPr>
        <w:pStyle w:val="Odsekzoznamu"/>
        <w:numPr>
          <w:ilvl w:val="0"/>
          <w:numId w:val="5"/>
        </w:numPr>
      </w:pPr>
      <w:r w:rsidRPr="00594C06">
        <w:rPr>
          <w:b/>
          <w:bCs/>
        </w:rPr>
        <w:lastRenderedPageBreak/>
        <w:t>zníženie bežných výdavkov</w:t>
      </w:r>
      <w:r>
        <w:t xml:space="preserve"> v programe 13.1 Administratíva</w:t>
      </w:r>
      <w:r w:rsidR="00E07EBF">
        <w:t xml:space="preserve"> </w:t>
      </w:r>
      <w:r w:rsidR="00E07EBF" w:rsidRPr="00594C06">
        <w:rPr>
          <w:b/>
          <w:bCs/>
        </w:rPr>
        <w:t>o 11 000 €</w:t>
      </w:r>
      <w:r w:rsidR="00E07EBF">
        <w:t xml:space="preserve"> a zároveň </w:t>
      </w:r>
      <w:r w:rsidR="00E07EBF" w:rsidRPr="00594C06">
        <w:rPr>
          <w:b/>
          <w:bCs/>
        </w:rPr>
        <w:t>zvýšenie kapitálových výdavkov</w:t>
      </w:r>
      <w:r w:rsidR="00E07EBF">
        <w:t xml:space="preserve"> v programe 5.2 nákup automobilu DHZ </w:t>
      </w:r>
      <w:r w:rsidR="00E07EBF" w:rsidRPr="00594C06">
        <w:rPr>
          <w:b/>
          <w:bCs/>
        </w:rPr>
        <w:t>o 1</w:t>
      </w:r>
      <w:r w:rsidR="00926F36" w:rsidRPr="00594C06">
        <w:rPr>
          <w:b/>
          <w:bCs/>
        </w:rPr>
        <w:t>8</w:t>
      </w:r>
      <w:r w:rsidR="00E07EBF" w:rsidRPr="00594C06">
        <w:rPr>
          <w:b/>
          <w:bCs/>
        </w:rPr>
        <w:t> 000 €,</w:t>
      </w:r>
      <w:r w:rsidR="00E07EBF">
        <w:t xml:space="preserve"> položka 714 – Nákup dopravných prostriedkov</w:t>
      </w:r>
    </w:p>
    <w:p w14:paraId="3AA55C49" w14:textId="77777777" w:rsidR="00E07EBF" w:rsidRDefault="00E07EBF" w:rsidP="00E07EBF"/>
    <w:p w14:paraId="74D22652" w14:textId="77777777" w:rsidR="00E07EBF" w:rsidRDefault="00E07EBF" w:rsidP="00E07EBF"/>
    <w:p w14:paraId="3D1514C5" w14:textId="77777777" w:rsidR="00E07EBF" w:rsidRDefault="00E07EBF" w:rsidP="00E07EBF"/>
    <w:p w14:paraId="6CCAA281" w14:textId="77777777" w:rsidR="002A2690" w:rsidRDefault="002A2690"/>
    <w:tbl>
      <w:tblPr>
        <w:tblW w:w="11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9"/>
        <w:gridCol w:w="1418"/>
        <w:gridCol w:w="1134"/>
        <w:gridCol w:w="897"/>
        <w:gridCol w:w="379"/>
        <w:gridCol w:w="924"/>
        <w:gridCol w:w="635"/>
        <w:gridCol w:w="850"/>
        <w:gridCol w:w="425"/>
        <w:gridCol w:w="1279"/>
        <w:gridCol w:w="1493"/>
        <w:gridCol w:w="321"/>
      </w:tblGrid>
      <w:tr w:rsidR="00926F36" w:rsidRPr="002A2690" w14:paraId="2F648753" w14:textId="77777777" w:rsidTr="00DA4AAC">
        <w:trPr>
          <w:trHeight w:val="850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C92002" w14:textId="77777777" w:rsidR="00926F36" w:rsidRPr="002A2690" w:rsidRDefault="00926F36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rFonts w:ascii="Arial" w:hAnsi="Arial" w:cs="Arial"/>
                <w:sz w:val="18"/>
                <w:szCs w:val="18"/>
              </w:rPr>
              <w:t> </w:t>
            </w:r>
            <w:r w:rsidR="00CE3EAB">
              <w:rPr>
                <w:rFonts w:ascii="Arial" w:hAnsi="Arial" w:cs="Arial"/>
                <w:sz w:val="18"/>
                <w:szCs w:val="18"/>
              </w:rPr>
              <w:t xml:space="preserve">Hlavné kategórie príjmov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DDAAFE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F5A9F1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Rozpočtové opatrenie č. 1-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678549F5" w14:textId="77777777" w:rsidR="00926F36" w:rsidRDefault="00926F36" w:rsidP="00926F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14:paraId="7F7319D0" w14:textId="77777777" w:rsidR="00CD1AAD" w:rsidRDefault="00926F36" w:rsidP="00926F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Návrh na zmenu rozpočtu</w:t>
            </w:r>
            <w:r w:rsidR="00185609">
              <w:rPr>
                <w:b/>
                <w:bCs/>
                <w:color w:val="FF0000"/>
                <w:sz w:val="18"/>
                <w:szCs w:val="18"/>
              </w:rPr>
              <w:t xml:space="preserve"> /</w:t>
            </w:r>
            <w:r w:rsidRPr="002A26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85609">
              <w:rPr>
                <w:b/>
                <w:bCs/>
                <w:color w:val="FF0000"/>
                <w:sz w:val="18"/>
                <w:szCs w:val="18"/>
              </w:rPr>
              <w:t>A</w:t>
            </w:r>
          </w:p>
          <w:p w14:paraId="7DB22A48" w14:textId="77777777" w:rsidR="00926F36" w:rsidRPr="002A2690" w:rsidRDefault="00926F36" w:rsidP="00926F3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bod č.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0D17C0" w14:textId="77777777" w:rsidR="00CD1AAD" w:rsidRDefault="00926F36" w:rsidP="002A269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Návrh na zmenu rozpočtu</w:t>
            </w:r>
            <w:r w:rsidR="00185609">
              <w:rPr>
                <w:b/>
                <w:bCs/>
                <w:color w:val="FF0000"/>
                <w:sz w:val="18"/>
                <w:szCs w:val="18"/>
              </w:rPr>
              <w:t xml:space="preserve"> / B</w:t>
            </w:r>
          </w:p>
          <w:p w14:paraId="0C54E384" w14:textId="77777777" w:rsidR="00926F36" w:rsidRPr="002A2690" w:rsidRDefault="00926F36" w:rsidP="002A269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 xml:space="preserve"> bod č. 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A8EC5C" w14:textId="77777777" w:rsidR="00CD1AAD" w:rsidRDefault="00926F36" w:rsidP="002A269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Návrh na zmenu rozpočtu</w:t>
            </w:r>
            <w:r w:rsidR="00185609">
              <w:rPr>
                <w:b/>
                <w:bCs/>
                <w:color w:val="FF0000"/>
                <w:sz w:val="18"/>
                <w:szCs w:val="18"/>
              </w:rPr>
              <w:t xml:space="preserve"> /</w:t>
            </w:r>
            <w:r w:rsidRPr="002A2690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85609">
              <w:rPr>
                <w:b/>
                <w:bCs/>
                <w:color w:val="FF0000"/>
                <w:sz w:val="18"/>
                <w:szCs w:val="18"/>
              </w:rPr>
              <w:t>C</w:t>
            </w:r>
          </w:p>
          <w:p w14:paraId="7E80621B" w14:textId="77777777" w:rsidR="00926F36" w:rsidRPr="002A2690" w:rsidRDefault="00926F36" w:rsidP="002A2690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 xml:space="preserve">bod č. </w:t>
            </w:r>
            <w:r w:rsidR="000A6F5B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409A1A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po zmenách</w:t>
            </w:r>
          </w:p>
        </w:tc>
      </w:tr>
      <w:tr w:rsidR="0094150F" w:rsidRPr="002A2690" w14:paraId="07389393" w14:textId="77777777" w:rsidTr="00DA4AAC">
        <w:trPr>
          <w:trHeight w:val="31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579D" w14:textId="77777777" w:rsidR="0094150F" w:rsidRPr="002A2690" w:rsidRDefault="0094150F" w:rsidP="0094150F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016B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daňové príjmy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487A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6 396 960 €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4BA8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70 000 €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5FB" w14:textId="77777777" w:rsidR="0094150F" w:rsidRPr="002A2690" w:rsidRDefault="0094150F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420 000 €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5208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BA32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CAB0055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6 </w:t>
            </w:r>
            <w:r>
              <w:rPr>
                <w:sz w:val="18"/>
                <w:szCs w:val="18"/>
              </w:rPr>
              <w:t>88</w:t>
            </w:r>
            <w:r w:rsidRPr="002A2690">
              <w:rPr>
                <w:sz w:val="18"/>
                <w:szCs w:val="18"/>
              </w:rPr>
              <w:t xml:space="preserve">6 960 € </w:t>
            </w:r>
          </w:p>
        </w:tc>
      </w:tr>
      <w:tr w:rsidR="0094150F" w:rsidRPr="002A2690" w14:paraId="6EB677EB" w14:textId="77777777" w:rsidTr="00DA4AAC">
        <w:trPr>
          <w:trHeight w:val="402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7F3" w14:textId="77777777" w:rsidR="0094150F" w:rsidRPr="002A2690" w:rsidRDefault="0094150F" w:rsidP="0094150F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5BEF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nedaňové príjmy</w:t>
            </w:r>
            <w:r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C4AD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 093 090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0D6C" w14:textId="77777777" w:rsidR="0094150F" w:rsidRPr="002A2690" w:rsidRDefault="0094150F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7A35A" w14:textId="77777777" w:rsidR="0094150F" w:rsidRPr="002A2690" w:rsidRDefault="0094150F" w:rsidP="004027C1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50 505 €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999A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B5D9E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9D36AD6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1 </w:t>
            </w:r>
            <w:r>
              <w:rPr>
                <w:sz w:val="18"/>
                <w:szCs w:val="18"/>
              </w:rPr>
              <w:t>1</w:t>
            </w:r>
            <w:r w:rsidRPr="002A2690">
              <w:rPr>
                <w:sz w:val="18"/>
                <w:szCs w:val="18"/>
              </w:rPr>
              <w:t xml:space="preserve">43 </w:t>
            </w:r>
            <w:r>
              <w:rPr>
                <w:sz w:val="18"/>
                <w:szCs w:val="18"/>
              </w:rPr>
              <w:t>595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94150F" w:rsidRPr="002A2690" w14:paraId="74E58809" w14:textId="77777777" w:rsidTr="00DA4AAC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6CF4" w14:textId="77777777" w:rsidR="0094150F" w:rsidRPr="002A2690" w:rsidRDefault="0094150F" w:rsidP="00941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ACC7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Bežné príjmy nedaňové -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037F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650 000 €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D143" w14:textId="77777777" w:rsidR="0094150F" w:rsidRDefault="0094150F" w:rsidP="009415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EE509" w14:textId="77777777" w:rsidR="0094150F" w:rsidRDefault="0094150F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50 573 €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5611D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5D04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11C473B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700 573 €</w:t>
            </w:r>
          </w:p>
        </w:tc>
      </w:tr>
      <w:tr w:rsidR="0094150F" w:rsidRPr="002A2690" w14:paraId="6E53A67E" w14:textId="77777777" w:rsidTr="00DA4AAC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A6CD" w14:textId="77777777" w:rsidR="0094150F" w:rsidRPr="002A2690" w:rsidRDefault="0094150F" w:rsidP="0094150F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BEBE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príjmy - granty a transfery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68AD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3 354 620 €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6CAC" w14:textId="77777777" w:rsidR="0094150F" w:rsidRPr="002A2690" w:rsidRDefault="0094150F" w:rsidP="0094150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140 600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AC253" w14:textId="77777777" w:rsidR="0094150F" w:rsidRPr="002A2690" w:rsidRDefault="0094150F" w:rsidP="004027C1">
            <w:pPr>
              <w:spacing w:before="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- 83 266 €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BAB3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048FB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D9CAADD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3</w:t>
            </w:r>
            <w:r>
              <w:rPr>
                <w:sz w:val="18"/>
                <w:szCs w:val="18"/>
              </w:rPr>
              <w:t> 411 954</w:t>
            </w:r>
            <w:r w:rsidRPr="002A2690">
              <w:rPr>
                <w:sz w:val="18"/>
                <w:szCs w:val="18"/>
              </w:rPr>
              <w:t xml:space="preserve">  € </w:t>
            </w:r>
          </w:p>
        </w:tc>
      </w:tr>
      <w:tr w:rsidR="0094150F" w:rsidRPr="002A2690" w14:paraId="51DD1950" w14:textId="77777777" w:rsidTr="00DA4AAC">
        <w:trPr>
          <w:trHeight w:val="351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112F" w14:textId="77777777" w:rsidR="0094150F" w:rsidRPr="002A2690" w:rsidRDefault="0094150F" w:rsidP="0094150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F0A5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Kapitálové príjmy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EC919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65 000 €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B825" w14:textId="77777777" w:rsidR="0094150F" w:rsidRDefault="0094150F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4B39" w14:textId="77777777" w:rsidR="0094150F" w:rsidRDefault="0094150F" w:rsidP="004027C1">
            <w:pPr>
              <w:spacing w:before="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11 116 €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6CD9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A1F1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D5D5D9D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76 116 €</w:t>
            </w:r>
          </w:p>
        </w:tc>
      </w:tr>
      <w:tr w:rsidR="0094150F" w:rsidRPr="002A2690" w14:paraId="17D941FD" w14:textId="77777777" w:rsidTr="00DA4AAC">
        <w:trPr>
          <w:trHeight w:val="288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4A1" w14:textId="77777777" w:rsidR="0094150F" w:rsidRPr="002A2690" w:rsidRDefault="0094150F" w:rsidP="0094150F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B63E9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Kapitálové príjmy 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4D029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2B206" w14:textId="77777777" w:rsidR="0094150F" w:rsidRPr="002A2690" w:rsidRDefault="0094150F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D4770E" w14:textId="77777777" w:rsidR="0094150F" w:rsidRPr="002A2690" w:rsidRDefault="0094150F" w:rsidP="004027C1">
            <w:pPr>
              <w:spacing w:before="5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2 998 €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E83CFC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874C6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C24B8FB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</w:t>
            </w:r>
            <w:r w:rsidRPr="002A269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2 998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94150F" w:rsidRPr="002A2690" w14:paraId="7A827FE1" w14:textId="77777777" w:rsidTr="00E20135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5415C" w14:textId="77777777" w:rsidR="0094150F" w:rsidRPr="002A2690" w:rsidRDefault="0094150F" w:rsidP="0094150F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90D9D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Finančné príjmové operácie </w:t>
            </w:r>
            <w:r>
              <w:rPr>
                <w:sz w:val="18"/>
                <w:szCs w:val="18"/>
              </w:rPr>
              <w:t>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BF370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1 110 800 €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6DA63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265 000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50BD8" w14:textId="77777777" w:rsidR="0094150F" w:rsidRDefault="0094150F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156 455 €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404F5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7EFA47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C545660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1 </w:t>
            </w:r>
            <w:r>
              <w:rPr>
                <w:sz w:val="18"/>
                <w:szCs w:val="18"/>
              </w:rPr>
              <w:t>532</w:t>
            </w:r>
            <w:r w:rsidRPr="002A2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255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94150F" w:rsidRPr="002A2690" w14:paraId="06D54EEF" w14:textId="77777777" w:rsidTr="00DA4AAC">
        <w:trPr>
          <w:trHeight w:val="47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0E73A" w14:textId="77777777" w:rsidR="0094150F" w:rsidRPr="002A2690" w:rsidRDefault="0094150F" w:rsidP="0094150F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38C17" w14:textId="77777777" w:rsidR="0094150F" w:rsidRPr="002A2690" w:rsidRDefault="0094150F" w:rsidP="0094150F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Finančné príjmové operácie </w:t>
            </w:r>
            <w:r>
              <w:rPr>
                <w:sz w:val="18"/>
                <w:szCs w:val="18"/>
              </w:rPr>
              <w:t>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171C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D7553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-</w:t>
            </w:r>
            <w:r w:rsidRPr="002A26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B70F" w14:textId="77777777" w:rsidR="0094150F" w:rsidRDefault="0094150F" w:rsidP="004027C1">
            <w:pPr>
              <w:spacing w:before="30"/>
              <w:jc w:val="right"/>
              <w:rPr>
                <w:sz w:val="18"/>
                <w:szCs w:val="18"/>
              </w:rPr>
            </w:pPr>
          </w:p>
          <w:p w14:paraId="71DDA658" w14:textId="77777777" w:rsidR="0094150F" w:rsidRPr="002A2690" w:rsidRDefault="0094150F" w:rsidP="004027C1">
            <w:pPr>
              <w:spacing w:before="3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64 729 €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436D63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C86FC3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84CB3" w14:textId="77777777" w:rsidR="0094150F" w:rsidRPr="002A2690" w:rsidRDefault="0094150F" w:rsidP="00A30AC0">
            <w:pPr>
              <w:jc w:val="center"/>
              <w:rPr>
                <w:sz w:val="18"/>
                <w:szCs w:val="18"/>
              </w:rPr>
            </w:pPr>
            <w:r w:rsidRPr="002641C5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73351C8" w14:textId="77777777" w:rsidR="0094150F" w:rsidRPr="002A2690" w:rsidRDefault="0094150F" w:rsidP="0094150F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</w:t>
            </w:r>
            <w:r w:rsidRPr="002A2690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64 729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926F36" w:rsidRPr="002A2690" w14:paraId="76945CBC" w14:textId="77777777" w:rsidTr="00DA4AAC">
        <w:trPr>
          <w:trHeight w:val="472"/>
          <w:jc w:val="center"/>
        </w:trPr>
        <w:tc>
          <w:tcPr>
            <w:tcW w:w="3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041E23E" w14:textId="77777777" w:rsidR="00926F36" w:rsidRPr="002A2690" w:rsidRDefault="00926F36" w:rsidP="002A269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Príjmová časť rozpočtu - celkom: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A913FF0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12 670 470 €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14EA4BD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475 600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7112DC98" w14:textId="77777777" w:rsidR="00926F36" w:rsidRPr="002A2690" w:rsidRDefault="008143A2" w:rsidP="004027C1">
            <w:pPr>
              <w:spacing w:before="10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594C06">
              <w:rPr>
                <w:b/>
                <w:bCs/>
                <w:sz w:val="18"/>
                <w:szCs w:val="18"/>
              </w:rPr>
              <w:t>673 110 €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BA5AFD2" w14:textId="77777777" w:rsidR="00926F36" w:rsidRPr="002A2690" w:rsidRDefault="00926F36" w:rsidP="003329E0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</w:t>
            </w:r>
            <w:r w:rsidR="003329E0">
              <w:rPr>
                <w:b/>
                <w:bCs/>
                <w:sz w:val="18"/>
                <w:szCs w:val="18"/>
              </w:rPr>
              <w:t>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E570E31" w14:textId="77777777" w:rsidR="00926F36" w:rsidRPr="002A2690" w:rsidRDefault="00926F36" w:rsidP="003329E0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    </w:t>
            </w:r>
            <w:r w:rsidR="003329E0">
              <w:rPr>
                <w:b/>
                <w:bCs/>
                <w:sz w:val="18"/>
                <w:szCs w:val="18"/>
              </w:rPr>
              <w:t>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CC82DDE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    13</w:t>
            </w:r>
            <w:r w:rsidR="008143A2">
              <w:rPr>
                <w:b/>
                <w:bCs/>
                <w:sz w:val="18"/>
                <w:szCs w:val="18"/>
              </w:rPr>
              <w:t> 819 180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</w:tr>
      <w:tr w:rsidR="00926F36" w:rsidRPr="002A2690" w14:paraId="7538AC5D" w14:textId="77777777" w:rsidTr="00DA4AAC">
        <w:trPr>
          <w:trHeight w:val="47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B69641" w14:textId="77777777" w:rsidR="00926F36" w:rsidRPr="002A2690" w:rsidRDefault="00926F36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rFonts w:ascii="Arial" w:hAnsi="Arial" w:cs="Arial"/>
                <w:sz w:val="18"/>
                <w:szCs w:val="18"/>
              </w:rPr>
              <w:t> </w:t>
            </w:r>
            <w:r w:rsidR="00CE3EAB">
              <w:rPr>
                <w:rFonts w:ascii="Arial" w:hAnsi="Arial" w:cs="Arial"/>
                <w:sz w:val="18"/>
                <w:szCs w:val="18"/>
              </w:rPr>
              <w:t>Hlavné kategórie výdavkov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AEFC20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2022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0B4086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Rozpočtové opatrenie č. 1-</w:t>
            </w:r>
            <w:r w:rsidR="00A02BD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14:paraId="41B739E8" w14:textId="77777777" w:rsidR="00926F36" w:rsidRPr="002A2690" w:rsidRDefault="00594C0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Návrh na zmenu rozpočtu bod č. 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D356255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Návrh na zmenu rozpočtu bod č. </w:t>
            </w:r>
            <w:r w:rsidR="00594C0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40A23AD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Návrh na zmenu rozpočtu bod č. </w:t>
            </w:r>
            <w:r w:rsidR="00CE3EAB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407AB05" w14:textId="77777777" w:rsidR="00926F36" w:rsidRPr="002A2690" w:rsidRDefault="00926F36" w:rsidP="002A2690">
            <w:pPr>
              <w:jc w:val="center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Rozpočet po zmenách</w:t>
            </w:r>
          </w:p>
        </w:tc>
      </w:tr>
      <w:tr w:rsidR="00926F36" w:rsidRPr="002A2690" w14:paraId="0AFC9A97" w14:textId="77777777" w:rsidTr="00DD43AA">
        <w:trPr>
          <w:trHeight w:val="30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6BEA" w14:textId="77777777" w:rsidR="00926F36" w:rsidRPr="002A2690" w:rsidRDefault="00926F36" w:rsidP="002A269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BADD" w14:textId="77777777" w:rsidR="00926F36" w:rsidRPr="002A2690" w:rsidRDefault="00926F36" w:rsidP="002A269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Bežné výdavky</w:t>
            </w:r>
            <w:r w:rsidR="00527C9A"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755E" w14:textId="77777777" w:rsidR="00926F36" w:rsidRPr="002A2690" w:rsidRDefault="00926F36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</w:t>
            </w:r>
            <w:r w:rsidR="00527C9A">
              <w:rPr>
                <w:sz w:val="18"/>
                <w:szCs w:val="18"/>
              </w:rPr>
              <w:t>4 190 313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831E" w14:textId="77777777" w:rsidR="00926F36" w:rsidRPr="002A2690" w:rsidRDefault="00926F36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287 600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00C49" w14:textId="77777777" w:rsidR="00926F36" w:rsidRPr="002A2690" w:rsidRDefault="00926F36" w:rsidP="004027C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260F" w14:textId="77777777" w:rsidR="00926F36" w:rsidRPr="002A2690" w:rsidRDefault="00593981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</w:t>
            </w:r>
            <w:r w:rsidR="009415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9 200</w:t>
            </w:r>
            <w:r w:rsidR="00926F36" w:rsidRPr="002A2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  <w:r w:rsidR="00926F36" w:rsidRPr="002A2690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99D" w14:textId="77777777" w:rsidR="00926F36" w:rsidRPr="002A2690" w:rsidRDefault="00926F36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-        11 000 €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792EF8B" w14:textId="77777777" w:rsidR="00926F36" w:rsidRPr="002A2690" w:rsidRDefault="00926F36" w:rsidP="004027C1">
            <w:pPr>
              <w:jc w:val="right"/>
              <w:rPr>
                <w:color w:val="000000"/>
                <w:sz w:val="18"/>
                <w:szCs w:val="18"/>
              </w:rPr>
            </w:pPr>
            <w:r w:rsidRPr="002A2690">
              <w:rPr>
                <w:color w:val="000000"/>
                <w:sz w:val="18"/>
                <w:szCs w:val="18"/>
              </w:rPr>
              <w:t xml:space="preserve">           </w:t>
            </w:r>
            <w:r w:rsidR="00DB6165">
              <w:rPr>
                <w:color w:val="000000"/>
                <w:sz w:val="18"/>
                <w:szCs w:val="18"/>
              </w:rPr>
              <w:t>4 </w:t>
            </w:r>
            <w:r w:rsidR="00A02BD1">
              <w:rPr>
                <w:color w:val="000000"/>
                <w:sz w:val="18"/>
                <w:szCs w:val="18"/>
              </w:rPr>
              <w:t>6</w:t>
            </w:r>
            <w:r w:rsidR="0094150F">
              <w:rPr>
                <w:color w:val="000000"/>
                <w:sz w:val="18"/>
                <w:szCs w:val="18"/>
              </w:rPr>
              <w:t>0</w:t>
            </w:r>
            <w:r w:rsidR="00DB6165">
              <w:rPr>
                <w:color w:val="000000"/>
                <w:sz w:val="18"/>
                <w:szCs w:val="18"/>
              </w:rPr>
              <w:t xml:space="preserve">6 </w:t>
            </w:r>
            <w:r w:rsidR="00A02BD1">
              <w:rPr>
                <w:color w:val="000000"/>
                <w:sz w:val="18"/>
                <w:szCs w:val="18"/>
              </w:rPr>
              <w:t>1</w:t>
            </w:r>
            <w:r w:rsidR="00DB6165">
              <w:rPr>
                <w:color w:val="000000"/>
                <w:sz w:val="18"/>
                <w:szCs w:val="18"/>
              </w:rPr>
              <w:t>13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A30AC0" w:rsidRPr="002A2690" w14:paraId="61BEB7E1" w14:textId="77777777" w:rsidTr="004027C1">
        <w:trPr>
          <w:trHeight w:val="256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4656" w14:textId="77777777" w:rsidR="00A30AC0" w:rsidRPr="002A2690" w:rsidRDefault="00A30AC0" w:rsidP="00A30AC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C8D" w14:textId="77777777" w:rsidR="00A30AC0" w:rsidRPr="002A2690" w:rsidRDefault="00A30AC0" w:rsidP="00A30A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Bežné výdavky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869D" w14:textId="77777777" w:rsidR="00A30AC0" w:rsidRPr="002A2690" w:rsidRDefault="00A30AC0" w:rsidP="004027C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6 666 720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0342" w14:textId="77777777" w:rsidR="00A30AC0" w:rsidRPr="00DB6165" w:rsidRDefault="00A30AC0" w:rsidP="008B33B2">
            <w:pPr>
              <w:pStyle w:val="Odsekzoznamu"/>
              <w:numPr>
                <w:ilvl w:val="0"/>
                <w:numId w:val="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D19" w14:textId="77777777" w:rsidR="00A30AC0" w:rsidRPr="002A2690" w:rsidRDefault="00A30AC0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495 496 €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07DB3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6F3255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F68B" w14:textId="77777777" w:rsidR="00A30AC0" w:rsidRPr="002A2690" w:rsidRDefault="00A30AC0" w:rsidP="008B33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7292D61" w14:textId="77777777" w:rsidR="00A30AC0" w:rsidRPr="002A2690" w:rsidRDefault="00A30AC0" w:rsidP="004027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7 162 216 €</w:t>
            </w:r>
          </w:p>
        </w:tc>
      </w:tr>
      <w:tr w:rsidR="00A30AC0" w:rsidRPr="002A2690" w14:paraId="31CF2A40" w14:textId="77777777" w:rsidTr="004027C1">
        <w:trPr>
          <w:trHeight w:val="334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42D" w14:textId="77777777" w:rsidR="00A30AC0" w:rsidRPr="002A2690" w:rsidRDefault="00A30AC0" w:rsidP="00A30AC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D2B2" w14:textId="77777777" w:rsidR="00A30AC0" w:rsidRPr="002A2690" w:rsidRDefault="00A30AC0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Kapitálové výdavky</w:t>
            </w:r>
            <w:r>
              <w:rPr>
                <w:sz w:val="18"/>
                <w:szCs w:val="18"/>
              </w:rPr>
              <w:t xml:space="preserve"> MČ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FCB5" w14:textId="77777777" w:rsidR="00A30AC0" w:rsidRPr="002A2690" w:rsidRDefault="00A30AC0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1 593 300 €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AA4F" w14:textId="77777777" w:rsidR="00A30AC0" w:rsidRPr="002A2690" w:rsidRDefault="00A30AC0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2A2690">
              <w:rPr>
                <w:sz w:val="18"/>
                <w:szCs w:val="18"/>
              </w:rPr>
              <w:t xml:space="preserve"> 000 €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16A98" w14:textId="77777777" w:rsidR="00A30AC0" w:rsidRPr="002A2690" w:rsidRDefault="00A30AC0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11 116 €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3783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6F3255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584D2" w14:textId="77777777" w:rsidR="00A30AC0" w:rsidRPr="002A2690" w:rsidRDefault="00A30AC0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18 000 €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A512CE" w14:textId="77777777" w:rsidR="00A30AC0" w:rsidRPr="002A2690" w:rsidRDefault="00A30AC0" w:rsidP="004027C1">
            <w:pPr>
              <w:jc w:val="right"/>
              <w:rPr>
                <w:color w:val="000000"/>
                <w:sz w:val="18"/>
                <w:szCs w:val="18"/>
              </w:rPr>
            </w:pPr>
            <w:r w:rsidRPr="002A2690">
              <w:rPr>
                <w:color w:val="000000"/>
                <w:sz w:val="18"/>
                <w:szCs w:val="18"/>
              </w:rPr>
              <w:t xml:space="preserve">             1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A2690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57 416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A30AC0" w:rsidRPr="002A2690" w14:paraId="4545F852" w14:textId="77777777" w:rsidTr="00DA4AAC">
        <w:trPr>
          <w:trHeight w:val="2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A2AD" w14:textId="77777777" w:rsidR="00A30AC0" w:rsidRPr="002A2690" w:rsidRDefault="00A30AC0" w:rsidP="00A30AC0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C75A" w14:textId="77777777" w:rsidR="00A30AC0" w:rsidRPr="002A2690" w:rsidRDefault="00A30AC0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Kapitálové výdavky</w:t>
            </w:r>
            <w:r>
              <w:rPr>
                <w:sz w:val="18"/>
                <w:szCs w:val="18"/>
              </w:rPr>
              <w:t xml:space="preserve"> 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98EF4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F684" w14:textId="77777777" w:rsidR="00A30AC0" w:rsidRPr="002A2690" w:rsidRDefault="00A30AC0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30 000 €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6F18F" w14:textId="77777777" w:rsidR="00A30AC0" w:rsidRPr="002A2690" w:rsidRDefault="00A30AC0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6 598 €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B8FE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6F3255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AB08" w14:textId="77777777" w:rsidR="00A30AC0" w:rsidRPr="002A2690" w:rsidRDefault="00A30AC0" w:rsidP="008B33B2">
            <w:pPr>
              <w:jc w:val="center"/>
              <w:rPr>
                <w:sz w:val="18"/>
                <w:szCs w:val="18"/>
              </w:rPr>
            </w:pPr>
            <w:r w:rsidRPr="003C0A3E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4E44C0B" w14:textId="77777777" w:rsidR="00A30AC0" w:rsidRPr="002A2690" w:rsidRDefault="00A30AC0" w:rsidP="004027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36 598 €</w:t>
            </w:r>
          </w:p>
        </w:tc>
      </w:tr>
      <w:tr w:rsidR="00A30AC0" w:rsidRPr="002A2690" w14:paraId="759A7075" w14:textId="77777777" w:rsidTr="00DA4AAC">
        <w:trPr>
          <w:trHeight w:val="27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2FB7" w14:textId="77777777" w:rsidR="00A30AC0" w:rsidRPr="002A2690" w:rsidRDefault="00A30AC0" w:rsidP="00A30AC0">
            <w:pPr>
              <w:rPr>
                <w:rFonts w:ascii="Arial" w:hAnsi="Arial" w:cs="Arial"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55B9" w14:textId="77777777" w:rsidR="00A30AC0" w:rsidRPr="002A2690" w:rsidRDefault="00A30AC0" w:rsidP="00A30AC0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Finančné operácie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6AB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5D82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10078" w14:textId="77777777" w:rsidR="00A30AC0" w:rsidRPr="002A2690" w:rsidRDefault="00A30AC0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D6F0" w14:textId="77777777" w:rsidR="00A30AC0" w:rsidRPr="002A2690" w:rsidRDefault="00A30AC0" w:rsidP="004027C1">
            <w:pPr>
              <w:jc w:val="center"/>
              <w:rPr>
                <w:sz w:val="18"/>
                <w:szCs w:val="18"/>
              </w:rPr>
            </w:pPr>
            <w:r w:rsidRPr="006F3255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15268" w14:textId="77777777" w:rsidR="00A30AC0" w:rsidRPr="002A2690" w:rsidRDefault="00A30AC0" w:rsidP="008B33B2">
            <w:pPr>
              <w:jc w:val="center"/>
              <w:rPr>
                <w:sz w:val="18"/>
                <w:szCs w:val="18"/>
              </w:rPr>
            </w:pPr>
            <w:r w:rsidRPr="003C0A3E"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0359D8" w14:textId="77777777" w:rsidR="00A30AC0" w:rsidRPr="002A2690" w:rsidRDefault="00A30AC0" w:rsidP="004027C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700</w:t>
            </w:r>
            <w:r w:rsidRPr="002A2690">
              <w:rPr>
                <w:color w:val="000000"/>
                <w:sz w:val="18"/>
                <w:szCs w:val="18"/>
              </w:rPr>
              <w:t xml:space="preserve"> € </w:t>
            </w:r>
          </w:p>
        </w:tc>
      </w:tr>
      <w:tr w:rsidR="00DB6165" w:rsidRPr="002A2690" w14:paraId="1F136293" w14:textId="77777777" w:rsidTr="00DA4AAC">
        <w:trPr>
          <w:trHeight w:val="47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0D93329" w14:textId="77777777" w:rsidR="00DB6165" w:rsidRPr="002A2690" w:rsidRDefault="00DB6165" w:rsidP="00DB6165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Výdavková časť rozpočtu - celkom: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8C9312" w14:textId="77777777" w:rsidR="00DB6165" w:rsidRPr="002A2690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12 450 333 €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F2F7F4" w14:textId="77777777" w:rsidR="00DB6165" w:rsidRPr="002A2690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552 600</w:t>
            </w:r>
            <w:r w:rsidRPr="002A2690">
              <w:rPr>
                <w:b/>
                <w:bCs/>
                <w:sz w:val="18"/>
                <w:szCs w:val="18"/>
              </w:rPr>
              <w:t xml:space="preserve">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14:paraId="021EFA06" w14:textId="77777777" w:rsidR="00215182" w:rsidRDefault="00215182" w:rsidP="004027C1">
            <w:pPr>
              <w:jc w:val="right"/>
              <w:rPr>
                <w:b/>
                <w:bCs/>
                <w:sz w:val="18"/>
                <w:szCs w:val="18"/>
              </w:rPr>
            </w:pPr>
          </w:p>
          <w:p w14:paraId="796A7C5C" w14:textId="77777777" w:rsidR="00DB6165" w:rsidRPr="002A2690" w:rsidRDefault="00211013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215182">
              <w:rPr>
                <w:b/>
                <w:bCs/>
                <w:sz w:val="18"/>
                <w:szCs w:val="18"/>
              </w:rPr>
              <w:t>13 910 €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31E0DF" w14:textId="77777777" w:rsidR="00DB6165" w:rsidRPr="002A2690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</w:t>
            </w:r>
            <w:r w:rsidR="00211013">
              <w:rPr>
                <w:b/>
                <w:bCs/>
                <w:sz w:val="18"/>
                <w:szCs w:val="18"/>
              </w:rPr>
              <w:t>1</w:t>
            </w:r>
            <w:r w:rsidR="0094150F">
              <w:rPr>
                <w:b/>
                <w:bCs/>
                <w:sz w:val="18"/>
                <w:szCs w:val="18"/>
              </w:rPr>
              <w:t>3</w:t>
            </w:r>
            <w:r w:rsidR="00211013">
              <w:rPr>
                <w:b/>
                <w:bCs/>
                <w:sz w:val="18"/>
                <w:szCs w:val="18"/>
              </w:rPr>
              <w:t>9</w:t>
            </w:r>
            <w:r w:rsidRPr="002A2690">
              <w:rPr>
                <w:b/>
                <w:bCs/>
                <w:sz w:val="18"/>
                <w:szCs w:val="18"/>
              </w:rPr>
              <w:t xml:space="preserve"> </w:t>
            </w:r>
            <w:r w:rsidR="00211013">
              <w:rPr>
                <w:b/>
                <w:bCs/>
                <w:sz w:val="18"/>
                <w:szCs w:val="18"/>
              </w:rPr>
              <w:t>2</w:t>
            </w:r>
            <w:r w:rsidRPr="002A2690">
              <w:rPr>
                <w:b/>
                <w:bCs/>
                <w:sz w:val="18"/>
                <w:szCs w:val="18"/>
              </w:rPr>
              <w:t xml:space="preserve">00 €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8C7066" w14:textId="77777777" w:rsidR="00DB6165" w:rsidRPr="002A2690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 xml:space="preserve">           7 000 €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C0EB65" w14:textId="77777777" w:rsidR="00DB6165" w:rsidRPr="002A2690" w:rsidRDefault="00DB6165" w:rsidP="004027C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           1</w:t>
            </w: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02BD1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94150F"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211013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02BD1">
              <w:rPr>
                <w:b/>
                <w:bCs/>
                <w:color w:val="000000"/>
                <w:sz w:val="18"/>
                <w:szCs w:val="18"/>
              </w:rPr>
              <w:t>04</w:t>
            </w:r>
            <w:r w:rsidRPr="002A2690">
              <w:rPr>
                <w:b/>
                <w:bCs/>
                <w:color w:val="000000"/>
                <w:sz w:val="18"/>
                <w:szCs w:val="18"/>
              </w:rPr>
              <w:t xml:space="preserve">3 € </w:t>
            </w:r>
          </w:p>
        </w:tc>
      </w:tr>
      <w:tr w:rsidR="00DB6165" w:rsidRPr="002A2690" w14:paraId="71446095" w14:textId="77777777" w:rsidTr="00DA4AAC">
        <w:trPr>
          <w:trHeight w:val="468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75EC" w14:textId="77777777" w:rsidR="00DB6165" w:rsidRPr="00D273D1" w:rsidRDefault="00DB6165" w:rsidP="00DB6165">
            <w:pPr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>Rozdiel príjmy celkom - výdavky celkom, vrátane finančných operácii (+, 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B460" w14:textId="77777777" w:rsidR="00DB6165" w:rsidRPr="00D273D1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 xml:space="preserve">      220 137 €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B852" w14:textId="77777777" w:rsidR="00DB6165" w:rsidRPr="00D273D1" w:rsidRDefault="00DB6165" w:rsidP="004027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D273D1">
              <w:rPr>
                <w:b/>
                <w:bCs/>
                <w:color w:val="FF0000"/>
                <w:sz w:val="18"/>
                <w:szCs w:val="18"/>
              </w:rPr>
              <w:t xml:space="preserve">-        </w:t>
            </w:r>
            <w:r>
              <w:rPr>
                <w:b/>
                <w:bCs/>
                <w:color w:val="FF0000"/>
                <w:sz w:val="18"/>
                <w:szCs w:val="18"/>
              </w:rPr>
              <w:t>77</w:t>
            </w:r>
            <w:r w:rsidRPr="00D273D1">
              <w:rPr>
                <w:b/>
                <w:bCs/>
                <w:color w:val="FF0000"/>
                <w:sz w:val="18"/>
                <w:szCs w:val="18"/>
              </w:rPr>
              <w:t xml:space="preserve"> 000 €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4D591" w14:textId="77777777" w:rsidR="00DB6165" w:rsidRDefault="00DB6165" w:rsidP="004027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  <w:p w14:paraId="2D81E2DC" w14:textId="77777777" w:rsidR="00215182" w:rsidRPr="00D273D1" w:rsidRDefault="00215182" w:rsidP="004027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215182">
              <w:rPr>
                <w:b/>
                <w:bCs/>
                <w:sz w:val="18"/>
                <w:szCs w:val="18"/>
              </w:rPr>
              <w:t>159 200 €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DAD3" w14:textId="77777777" w:rsidR="00DB6165" w:rsidRPr="00D273D1" w:rsidRDefault="00593981" w:rsidP="004027C1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- 1</w:t>
            </w:r>
            <w:r w:rsidR="0094150F">
              <w:rPr>
                <w:b/>
                <w:bCs/>
                <w:color w:val="FF0000"/>
                <w:sz w:val="18"/>
                <w:szCs w:val="18"/>
              </w:rPr>
              <w:t>3</w:t>
            </w:r>
            <w:r>
              <w:rPr>
                <w:b/>
                <w:bCs/>
                <w:color w:val="FF0000"/>
                <w:sz w:val="18"/>
                <w:szCs w:val="18"/>
              </w:rPr>
              <w:t>9 200 €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C6BE" w14:textId="77777777" w:rsidR="00DB6165" w:rsidRPr="00D273D1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593981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593981" w:rsidRPr="0059398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593981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593981" w:rsidRPr="00593981">
              <w:rPr>
                <w:b/>
                <w:bCs/>
                <w:color w:val="FF0000"/>
                <w:sz w:val="18"/>
                <w:szCs w:val="18"/>
              </w:rPr>
              <w:t>- 7</w:t>
            </w:r>
            <w:r w:rsidR="0059398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93981" w:rsidRPr="00593981">
              <w:rPr>
                <w:b/>
                <w:bCs/>
                <w:color w:val="FF0000"/>
                <w:sz w:val="18"/>
                <w:szCs w:val="18"/>
              </w:rPr>
              <w:t>000</w:t>
            </w:r>
            <w:r w:rsidRPr="00593981">
              <w:rPr>
                <w:b/>
                <w:bCs/>
                <w:color w:val="FF0000"/>
                <w:sz w:val="18"/>
                <w:szCs w:val="18"/>
              </w:rPr>
              <w:t xml:space="preserve">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24B1" w14:textId="77777777" w:rsidR="00DB6165" w:rsidRPr="00D273D1" w:rsidRDefault="00DB6165" w:rsidP="004027C1">
            <w:pPr>
              <w:jc w:val="right"/>
              <w:rPr>
                <w:b/>
                <w:bCs/>
                <w:sz w:val="18"/>
                <w:szCs w:val="18"/>
              </w:rPr>
            </w:pPr>
            <w:r w:rsidRPr="00D273D1">
              <w:rPr>
                <w:b/>
                <w:bCs/>
                <w:sz w:val="18"/>
                <w:szCs w:val="18"/>
              </w:rPr>
              <w:t xml:space="preserve">                1</w:t>
            </w:r>
            <w:r w:rsidR="0094150F">
              <w:rPr>
                <w:b/>
                <w:bCs/>
                <w:sz w:val="18"/>
                <w:szCs w:val="18"/>
              </w:rPr>
              <w:t>5</w:t>
            </w:r>
            <w:r w:rsidR="00593981">
              <w:rPr>
                <w:b/>
                <w:bCs/>
                <w:sz w:val="18"/>
                <w:szCs w:val="18"/>
              </w:rPr>
              <w:t>6</w:t>
            </w:r>
            <w:r w:rsidRPr="00D273D1">
              <w:rPr>
                <w:b/>
                <w:bCs/>
                <w:sz w:val="18"/>
                <w:szCs w:val="18"/>
              </w:rPr>
              <w:t xml:space="preserve"> 137 € </w:t>
            </w:r>
          </w:p>
        </w:tc>
      </w:tr>
      <w:tr w:rsidR="00DB6165" w:rsidRPr="002A2690" w14:paraId="55B04539" w14:textId="77777777" w:rsidTr="004027C1">
        <w:trPr>
          <w:trHeight w:val="30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3381" w14:textId="77777777" w:rsidR="00DB6165" w:rsidRPr="002A2690" w:rsidRDefault="00DB6165" w:rsidP="00DB616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Bežný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D3F9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637 637 €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D7D0" w14:textId="77777777" w:rsidR="00DB6165" w:rsidRPr="002A2690" w:rsidRDefault="00DB6165" w:rsidP="004027C1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 xml:space="preserve">-        </w:t>
            </w:r>
            <w:r>
              <w:rPr>
                <w:color w:val="FF0000"/>
                <w:sz w:val="18"/>
                <w:szCs w:val="18"/>
              </w:rPr>
              <w:t>77</w:t>
            </w:r>
            <w:r w:rsidRPr="002A2690">
              <w:rPr>
                <w:color w:val="FF0000"/>
                <w:sz w:val="18"/>
                <w:szCs w:val="18"/>
              </w:rPr>
              <w:t xml:space="preserve"> 000 €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A3708" w14:textId="77777777" w:rsidR="00DB6165" w:rsidRPr="002A2690" w:rsidRDefault="000C4F5D" w:rsidP="004027C1">
            <w:pPr>
              <w:spacing w:before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- 57 684 €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FA09" w14:textId="77777777" w:rsidR="00DB6165" w:rsidRPr="002A2690" w:rsidRDefault="00593981" w:rsidP="004027C1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- 1</w:t>
            </w:r>
            <w:r w:rsidR="0094150F">
              <w:rPr>
                <w:color w:val="FF0000"/>
                <w:sz w:val="18"/>
                <w:szCs w:val="18"/>
              </w:rPr>
              <w:t>3</w:t>
            </w:r>
            <w:r>
              <w:rPr>
                <w:color w:val="FF0000"/>
                <w:sz w:val="18"/>
                <w:szCs w:val="18"/>
              </w:rPr>
              <w:t>9 200 €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F3BA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11 000 €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F2D9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   </w:t>
            </w:r>
            <w:r w:rsidR="00A6726A">
              <w:rPr>
                <w:sz w:val="18"/>
                <w:szCs w:val="18"/>
              </w:rPr>
              <w:t>3</w:t>
            </w:r>
            <w:r w:rsidR="0094150F">
              <w:rPr>
                <w:sz w:val="18"/>
                <w:szCs w:val="18"/>
              </w:rPr>
              <w:t>7</w:t>
            </w:r>
            <w:r w:rsidR="00A6726A">
              <w:rPr>
                <w:sz w:val="18"/>
                <w:szCs w:val="18"/>
              </w:rPr>
              <w:t>4</w:t>
            </w:r>
            <w:r w:rsidRPr="002A2690">
              <w:rPr>
                <w:sz w:val="18"/>
                <w:szCs w:val="18"/>
              </w:rPr>
              <w:t xml:space="preserve"> </w:t>
            </w:r>
            <w:r w:rsidR="00A6726A">
              <w:rPr>
                <w:sz w:val="18"/>
                <w:szCs w:val="18"/>
              </w:rPr>
              <w:t>753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DB6165" w:rsidRPr="002A2690" w14:paraId="46544E0C" w14:textId="77777777" w:rsidTr="004027C1">
        <w:trPr>
          <w:trHeight w:val="312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61A" w14:textId="77777777" w:rsidR="00DB6165" w:rsidRPr="002A2690" w:rsidRDefault="00DB6165" w:rsidP="00DB616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Kapitálový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90F4" w14:textId="77777777" w:rsidR="00DB6165" w:rsidRPr="002A2690" w:rsidRDefault="00DB6165" w:rsidP="004027C1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 xml:space="preserve">- 1 528 300 €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9DA3" w14:textId="77777777" w:rsidR="00DB6165" w:rsidRPr="004027C1" w:rsidRDefault="00DB6165" w:rsidP="004027C1">
            <w:pPr>
              <w:jc w:val="right"/>
              <w:rPr>
                <w:color w:val="FF0000"/>
                <w:sz w:val="18"/>
                <w:szCs w:val="18"/>
              </w:rPr>
            </w:pPr>
            <w:r w:rsidRPr="004027C1">
              <w:rPr>
                <w:color w:val="FF0000"/>
                <w:sz w:val="18"/>
                <w:szCs w:val="18"/>
              </w:rPr>
              <w:t xml:space="preserve">    - 265 000  €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2425" w14:textId="77777777" w:rsidR="00DB6165" w:rsidRPr="002A2690" w:rsidRDefault="000C4F5D" w:rsidP="004027C1">
            <w:pPr>
              <w:spacing w:before="4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- 3 600 €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868B" w14:textId="77777777" w:rsidR="00DB6165" w:rsidRPr="002A2690" w:rsidRDefault="00A6726A" w:rsidP="004027C1">
            <w:pPr>
              <w:jc w:val="center"/>
              <w:rPr>
                <w:color w:val="FF0000"/>
                <w:sz w:val="18"/>
                <w:szCs w:val="18"/>
              </w:rPr>
            </w:pPr>
            <w:r w:rsidRPr="004027C1"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59EF" w14:textId="77777777" w:rsidR="00DB6165" w:rsidRPr="002A2690" w:rsidRDefault="00DB6165" w:rsidP="004027C1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 xml:space="preserve">-        18 000 €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250E" w14:textId="77777777" w:rsidR="00DB6165" w:rsidRPr="002A2690" w:rsidRDefault="00DB6165" w:rsidP="004027C1">
            <w:pPr>
              <w:jc w:val="right"/>
              <w:rPr>
                <w:color w:val="FF0000"/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>-            1 8</w:t>
            </w:r>
            <w:r>
              <w:rPr>
                <w:color w:val="FF0000"/>
                <w:sz w:val="18"/>
                <w:szCs w:val="18"/>
              </w:rPr>
              <w:t>1</w:t>
            </w:r>
            <w:r w:rsidR="00A6726A">
              <w:rPr>
                <w:color w:val="FF0000"/>
                <w:sz w:val="18"/>
                <w:szCs w:val="18"/>
              </w:rPr>
              <w:t>4</w:t>
            </w:r>
            <w:r w:rsidRPr="002A2690">
              <w:rPr>
                <w:color w:val="FF0000"/>
                <w:sz w:val="18"/>
                <w:szCs w:val="18"/>
              </w:rPr>
              <w:t xml:space="preserve"> </w:t>
            </w:r>
            <w:r w:rsidR="00A6726A">
              <w:rPr>
                <w:color w:val="FF0000"/>
                <w:sz w:val="18"/>
                <w:szCs w:val="18"/>
              </w:rPr>
              <w:t>9</w:t>
            </w:r>
            <w:r w:rsidRPr="002A2690">
              <w:rPr>
                <w:color w:val="FF0000"/>
                <w:sz w:val="18"/>
                <w:szCs w:val="18"/>
              </w:rPr>
              <w:t xml:space="preserve">00 € </w:t>
            </w:r>
          </w:p>
        </w:tc>
      </w:tr>
      <w:tr w:rsidR="00DB6165" w:rsidRPr="002A2690" w14:paraId="03DF5775" w14:textId="77777777" w:rsidTr="004027C1">
        <w:trPr>
          <w:trHeight w:val="304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F289" w14:textId="77777777" w:rsidR="00DB6165" w:rsidRPr="002A2690" w:rsidRDefault="00DB6165" w:rsidP="00DB6165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Finančné operácie rozpočet (+, -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32E2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1 110 800 €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DC05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265 000</w:t>
            </w:r>
            <w:r w:rsidRPr="002A2690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€</w:t>
            </w:r>
            <w:r w:rsidRPr="002A2690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89671" w14:textId="77777777" w:rsidR="00DB6165" w:rsidRPr="002A2690" w:rsidRDefault="000C4F5D" w:rsidP="004027C1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220 484 €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32BB" w14:textId="77777777" w:rsidR="00DB6165" w:rsidRPr="002A2690" w:rsidRDefault="00A6726A" w:rsidP="00402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2D49" w14:textId="77777777" w:rsidR="00DB6165" w:rsidRPr="002A2690" w:rsidRDefault="00A6726A" w:rsidP="004027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455F" w14:textId="77777777" w:rsidR="00DB6165" w:rsidRPr="002A2690" w:rsidRDefault="00DB6165" w:rsidP="004027C1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1</w:t>
            </w:r>
            <w:r w:rsidR="00A6726A">
              <w:rPr>
                <w:sz w:val="18"/>
                <w:szCs w:val="18"/>
              </w:rPr>
              <w:t> 596 284</w:t>
            </w:r>
            <w:r w:rsidRPr="002A2690">
              <w:rPr>
                <w:sz w:val="18"/>
                <w:szCs w:val="18"/>
              </w:rPr>
              <w:t xml:space="preserve"> € </w:t>
            </w:r>
          </w:p>
        </w:tc>
      </w:tr>
      <w:tr w:rsidR="00DB6165" w:rsidRPr="002A2690" w14:paraId="57C79693" w14:textId="77777777" w:rsidTr="00CD1AAD">
        <w:tblPrEx>
          <w:jc w:val="left"/>
        </w:tblPrEx>
        <w:trPr>
          <w:gridAfter w:val="1"/>
          <w:wAfter w:w="321" w:type="dxa"/>
          <w:trHeight w:val="437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AE66B" w14:textId="77777777" w:rsidR="00DB6165" w:rsidRPr="00FE652E" w:rsidRDefault="00DB6165" w:rsidP="00DB6165">
            <w:pPr>
              <w:rPr>
                <w:b/>
                <w:bCs/>
              </w:rPr>
            </w:pP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65237" w14:textId="77777777" w:rsidR="00DB6165" w:rsidRPr="002A2690" w:rsidRDefault="00DB6165" w:rsidP="00DB61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CDC6D" w14:textId="77777777" w:rsidR="00DB6165" w:rsidRPr="002A2690" w:rsidRDefault="00DB6165" w:rsidP="00DB6165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11046" w14:textId="77777777" w:rsidR="00DB6165" w:rsidRPr="002A2690" w:rsidRDefault="00DB6165" w:rsidP="00DB6165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A1CA2" w14:textId="77777777" w:rsidR="00DB6165" w:rsidRPr="002A2690" w:rsidRDefault="00DB6165" w:rsidP="00DB6165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92619" w14:textId="77777777" w:rsidR="00DB6165" w:rsidRPr="002A2690" w:rsidRDefault="00DB6165" w:rsidP="00DB6165">
            <w:pPr>
              <w:rPr>
                <w:sz w:val="20"/>
                <w:szCs w:val="20"/>
              </w:rPr>
            </w:pPr>
          </w:p>
        </w:tc>
      </w:tr>
    </w:tbl>
    <w:p w14:paraId="1EE86B3B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55668A81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59DC490F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72EBA840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55A29D5A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5A7B7A82" w14:textId="77777777" w:rsidR="00F150E0" w:rsidRDefault="00F150E0" w:rsidP="00FE652E">
      <w:pPr>
        <w:jc w:val="center"/>
        <w:rPr>
          <w:b/>
          <w:bCs/>
          <w:sz w:val="32"/>
          <w:szCs w:val="32"/>
        </w:rPr>
      </w:pPr>
    </w:p>
    <w:p w14:paraId="4E17ADE2" w14:textId="77777777" w:rsidR="00FE652E" w:rsidRPr="005A0006" w:rsidRDefault="00FE652E" w:rsidP="00FE652E">
      <w:pPr>
        <w:jc w:val="center"/>
        <w:rPr>
          <w:b/>
          <w:bCs/>
          <w:sz w:val="32"/>
          <w:szCs w:val="32"/>
        </w:rPr>
      </w:pPr>
      <w:r w:rsidRPr="005A0006">
        <w:rPr>
          <w:b/>
          <w:bCs/>
          <w:sz w:val="32"/>
          <w:szCs w:val="32"/>
        </w:rPr>
        <w:t>Dôvodová správa</w:t>
      </w:r>
    </w:p>
    <w:p w14:paraId="7D769D13" w14:textId="77777777" w:rsidR="006D6F8B" w:rsidRDefault="006D6F8B" w:rsidP="00FE652E">
      <w:pPr>
        <w:jc w:val="center"/>
        <w:rPr>
          <w:b/>
          <w:bCs/>
        </w:rPr>
      </w:pPr>
    </w:p>
    <w:p w14:paraId="4A74EA46" w14:textId="77777777" w:rsidR="006D6F8B" w:rsidRPr="005A0006" w:rsidRDefault="006D6F8B" w:rsidP="00FE652E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lastRenderedPageBreak/>
        <w:t>Zmeny v bode č. 1</w:t>
      </w:r>
    </w:p>
    <w:p w14:paraId="024C4963" w14:textId="77777777" w:rsidR="00FE652E" w:rsidRDefault="00FE652E" w:rsidP="00906A9C">
      <w:pPr>
        <w:jc w:val="both"/>
      </w:pPr>
    </w:p>
    <w:p w14:paraId="43A81928" w14:textId="77777777" w:rsidR="004F4B93" w:rsidRDefault="00F97160" w:rsidP="00906A9C">
      <w:pPr>
        <w:jc w:val="both"/>
        <w:rPr>
          <w:b/>
          <w:bCs/>
        </w:rPr>
      </w:pPr>
      <w:r>
        <w:rPr>
          <w:b/>
          <w:bCs/>
        </w:rPr>
        <w:t xml:space="preserve">K bodu A) 1   </w:t>
      </w:r>
      <w:r w:rsidR="00FE652E" w:rsidRPr="00FE652E">
        <w:rPr>
          <w:b/>
          <w:bCs/>
        </w:rPr>
        <w:t xml:space="preserve">Zdôvodnenie </w:t>
      </w:r>
      <w:r w:rsidR="00FE652E">
        <w:rPr>
          <w:b/>
          <w:bCs/>
        </w:rPr>
        <w:t xml:space="preserve">potreby </w:t>
      </w:r>
      <w:r w:rsidR="00FE652E" w:rsidRPr="00FE652E">
        <w:rPr>
          <w:b/>
          <w:bCs/>
        </w:rPr>
        <w:t xml:space="preserve">zmien na </w:t>
      </w:r>
      <w:r w:rsidR="004F4B93">
        <w:rPr>
          <w:b/>
          <w:bCs/>
        </w:rPr>
        <w:t xml:space="preserve">príjmovej strane rozpočtu: </w:t>
      </w:r>
    </w:p>
    <w:p w14:paraId="22D9E43C" w14:textId="77777777" w:rsidR="004F4B93" w:rsidRDefault="004F4B93" w:rsidP="00906A9C">
      <w:pPr>
        <w:jc w:val="both"/>
        <w:rPr>
          <w:b/>
          <w:bCs/>
        </w:rPr>
      </w:pPr>
    </w:p>
    <w:p w14:paraId="1C158DF8" w14:textId="77777777" w:rsidR="00CB3A5A" w:rsidRDefault="004F4B93" w:rsidP="004F4B93">
      <w:pPr>
        <w:ind w:firstLine="708"/>
        <w:jc w:val="both"/>
      </w:pPr>
      <w:r>
        <w:rPr>
          <w:b/>
          <w:bCs/>
        </w:rPr>
        <w:t>Navýšenie celkových príjmov o 673 110 €</w:t>
      </w:r>
      <w:r w:rsidR="00CD7EA0">
        <w:rPr>
          <w:b/>
          <w:bCs/>
        </w:rPr>
        <w:t xml:space="preserve">, z toho bežných príjmov vo výške 437 812 € </w:t>
      </w:r>
      <w:r>
        <w:rPr>
          <w:b/>
          <w:bCs/>
        </w:rPr>
        <w:t xml:space="preserve">bolo potrebné z dôvodu </w:t>
      </w:r>
      <w:r w:rsidRPr="00CD7EA0">
        <w:t>navýšených</w:t>
      </w:r>
      <w:r w:rsidR="00CD7EA0">
        <w:t xml:space="preserve"> daňových príjmov, a to hlavne dane z nehnuteľností </w:t>
      </w:r>
      <w:r w:rsidRPr="00CD7EA0">
        <w:t xml:space="preserve"> </w:t>
      </w:r>
      <w:r w:rsidR="00CD7EA0">
        <w:t xml:space="preserve">ako aj o nedaňové príjmy RO </w:t>
      </w:r>
      <w:r w:rsidRPr="00CD7EA0">
        <w:t>s ktorými nebolo uvažované pri spracovaní návrhu číselného a programového rozpočtu a zmien použitia bežných finančných prostriedkov</w:t>
      </w:r>
      <w:r w:rsidR="00CB3A5A">
        <w:t xml:space="preserve">. Tuzemské bežné granty boli upravené na reálne čiastky. </w:t>
      </w:r>
    </w:p>
    <w:p w14:paraId="01F4111B" w14:textId="77777777" w:rsidR="00CB3A5A" w:rsidRDefault="00CB3A5A" w:rsidP="00CB3A5A">
      <w:pPr>
        <w:jc w:val="both"/>
      </w:pPr>
      <w:r>
        <w:t>Kapitálové príjmy vo výške 14 114 € boli upravené o účelovo prijaté prostriedky na investície pre ZŠ Podzáhradná na nákup športových prvkov a z BSK na infraštrujúru cyklotrasy.</w:t>
      </w:r>
    </w:p>
    <w:p w14:paraId="0B40DA28" w14:textId="77777777" w:rsidR="00CB3A5A" w:rsidRPr="00CB3A5A" w:rsidRDefault="00CB3A5A" w:rsidP="00CB3A5A">
      <w:pPr>
        <w:jc w:val="both"/>
      </w:pPr>
      <w:r>
        <w:t xml:space="preserve">V prípade príjmových finančných operácií </w:t>
      </w:r>
      <w:r w:rsidR="008932A0">
        <w:t xml:space="preserve">v celkovej sume 221 184 € </w:t>
      </w:r>
      <w:r w:rsidRPr="00CB3A5A">
        <w:t>ide o zapojenie nevyčerpaných finančných prostriedkov zo ŠR z roku 20</w:t>
      </w:r>
      <w:r w:rsidR="008932A0">
        <w:t>21</w:t>
      </w:r>
      <w:r w:rsidRPr="00CB3A5A">
        <w:t xml:space="preserve">, ktoré mestská časť dostala </w:t>
      </w:r>
      <w:r w:rsidR="008932A0">
        <w:t>ako</w:t>
      </w:r>
      <w:r w:rsidRPr="00CB3A5A">
        <w:t xml:space="preserve"> dotáciu </w:t>
      </w:r>
      <w:r w:rsidR="008932A0">
        <w:t>z ŠR  pre RO ako aj zostatok nevyčerpaných prostriedkov na stravovanie z roku 2021.</w:t>
      </w:r>
      <w:r w:rsidRPr="00CB3A5A">
        <w:t xml:space="preserve"> </w:t>
      </w:r>
    </w:p>
    <w:p w14:paraId="51FDDD7D" w14:textId="77777777" w:rsidR="004F4B93" w:rsidRDefault="004F4B93" w:rsidP="004F4B93">
      <w:pPr>
        <w:ind w:firstLine="708"/>
        <w:jc w:val="both"/>
      </w:pPr>
      <w:r w:rsidRPr="00CD7EA0">
        <w:t>Zmena rozpočtu je spracovaná podľa platnej rozpočtovej klasifikácie, vydanej Ministerstvom financií SR .</w:t>
      </w:r>
    </w:p>
    <w:p w14:paraId="1326F4A5" w14:textId="77777777" w:rsidR="00D9509E" w:rsidRDefault="00D9509E" w:rsidP="00D9509E">
      <w:pPr>
        <w:jc w:val="both"/>
      </w:pPr>
      <w:r>
        <w:rPr>
          <w:noProof/>
        </w:rPr>
        <w:drawing>
          <wp:inline distT="0" distB="0" distL="0" distR="0" wp14:anchorId="40A410CD" wp14:editId="71255054">
            <wp:extent cx="5760720" cy="936625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42C3E" w14:textId="77777777" w:rsidR="00C06229" w:rsidRDefault="00C06229" w:rsidP="00D9509E">
      <w:pPr>
        <w:jc w:val="both"/>
      </w:pPr>
    </w:p>
    <w:p w14:paraId="61A2193E" w14:textId="77777777" w:rsidR="00FE652E" w:rsidRDefault="003E540F" w:rsidP="00906A9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3F8787C6" wp14:editId="4D708814">
            <wp:extent cx="5781675" cy="42291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F4DBF" w14:textId="77777777" w:rsidR="008932A0" w:rsidRDefault="00F97160" w:rsidP="00906A9C">
      <w:pPr>
        <w:jc w:val="both"/>
        <w:rPr>
          <w:b/>
          <w:bCs/>
        </w:rPr>
      </w:pPr>
      <w:r>
        <w:rPr>
          <w:b/>
          <w:bCs/>
        </w:rPr>
        <w:t xml:space="preserve">k bodu A) 2 </w:t>
      </w:r>
      <w:r w:rsidR="008932A0" w:rsidRPr="00FE652E">
        <w:rPr>
          <w:b/>
          <w:bCs/>
        </w:rPr>
        <w:t xml:space="preserve">Zdôvodnenie </w:t>
      </w:r>
      <w:r w:rsidR="008932A0">
        <w:rPr>
          <w:b/>
          <w:bCs/>
        </w:rPr>
        <w:t xml:space="preserve">potreby </w:t>
      </w:r>
      <w:r w:rsidR="008932A0" w:rsidRPr="00FE652E">
        <w:rPr>
          <w:b/>
          <w:bCs/>
        </w:rPr>
        <w:t xml:space="preserve">zmien na </w:t>
      </w:r>
      <w:r>
        <w:rPr>
          <w:b/>
          <w:bCs/>
        </w:rPr>
        <w:t>výdajove</w:t>
      </w:r>
      <w:r w:rsidR="008932A0">
        <w:rPr>
          <w:b/>
          <w:bCs/>
        </w:rPr>
        <w:t xml:space="preserve">j strane rozpočtu: </w:t>
      </w:r>
      <w:r>
        <w:rPr>
          <w:b/>
          <w:bCs/>
        </w:rPr>
        <w:t>zdôvodnenie zvýšenia výdavkov na Vzdelávanie</w:t>
      </w:r>
    </w:p>
    <w:p w14:paraId="3A465348" w14:textId="77777777" w:rsidR="008932A0" w:rsidRDefault="008932A0" w:rsidP="00906A9C">
      <w:pPr>
        <w:jc w:val="both"/>
        <w:rPr>
          <w:b/>
          <w:bCs/>
        </w:rPr>
      </w:pPr>
    </w:p>
    <w:p w14:paraId="36F5C228" w14:textId="77777777" w:rsidR="00F97160" w:rsidRDefault="00F97160" w:rsidP="00F9716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Návrh na zmenu rozpočtu mestskej časti Bratislava - Podunajské Biskupice na rok 2022 sa predkladá na rokovanie miestneho zastupiteľstva v súlade s § 14 zákona č. 583/2004 Z. z. o rozpočtových pravidlách územnej samosprávy a o zmene a doplnení niektorých zákonov v znení neskorších predpisov a zákona NR SR č. 597/2003 Z. z. o financovaní základných škôl, stredných škôl a školských zariadení v znení neskorších predpisov. </w:t>
      </w:r>
    </w:p>
    <w:p w14:paraId="0D263993" w14:textId="77777777" w:rsidR="00F97160" w:rsidRDefault="00F97160" w:rsidP="00F97160">
      <w:pPr>
        <w:jc w:val="both"/>
        <w:rPr>
          <w:rFonts w:cstheme="minorHAnsi"/>
        </w:rPr>
      </w:pPr>
      <w:r>
        <w:rPr>
          <w:rFonts w:cstheme="minorHAnsi"/>
        </w:rPr>
        <w:t xml:space="preserve">Rozpočet mestskej časti Bratislava – Podunajské Biskupice na rok 2022 bol schválený uznesením miestneho zastupiteľstva č. 395/2018-2022, zo dňa 8.2.2022. </w:t>
      </w:r>
    </w:p>
    <w:p w14:paraId="0E7B62FE" w14:textId="77777777" w:rsidR="00F97160" w:rsidRDefault="00F97160" w:rsidP="00F97160">
      <w:pPr>
        <w:jc w:val="both"/>
        <w:rPr>
          <w:rFonts w:cstheme="minorHAnsi"/>
        </w:rPr>
      </w:pPr>
      <w:r>
        <w:rPr>
          <w:rFonts w:cstheme="minorHAnsi"/>
        </w:rPr>
        <w:t>Návrh na zmenu rozpočtu sa týka úpravy v oblastiach:</w:t>
      </w:r>
    </w:p>
    <w:p w14:paraId="2E9172A8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z dôvodu oznámenia o výške dotácií na prenesený výkon štátnej správy a grantov</w:t>
      </w:r>
    </w:p>
    <w:p w14:paraId="1CE85C58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z dôvodu nedočerpania finančných príspevkov k 31.12.2021, schválených v rozpočtovom roku 2021 zo štátneho rozpočtu a iných zdrojov financovania (NFM – Nórsky finančný mechanizmus)</w:t>
      </w:r>
    </w:p>
    <w:p w14:paraId="192B501F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z dôvodu dofinancovania odmien vyplývajúcich z Dodatku č. 1 ku Kolektívnej zmluve vyššieho stupňa pre zamestnávateľov, ktorí pri odmeňovaní postupujú podľa zákona č. 553/2003 Z. z. o odmeňovaní niektorých zamestnancov pri výkone práce vo verejnom záujme na rok 2021</w:t>
      </w:r>
    </w:p>
    <w:p w14:paraId="2DAD78EC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z dôvodu zapojenie sa základnej  školy do projektu „COOL EKO SCHOOL“ (NFM) s povinnou spoluúčasťou mestskej časti Bratislava – Podunajské Biskupice , ako vlastníka nehnuteľnosti, získanie dotácie z Bratislavského samosprávneho kraja z dotačného programu na projekt „Malá detská botanická záhrada“ a „Živá učebňa“</w:t>
      </w:r>
    </w:p>
    <w:p w14:paraId="7304D065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zahŕňa výrub stromov ohrozujúcich majetok a zdravie detí a povinnosť zrealizovať náhradnú výsadbu</w:t>
      </w:r>
    </w:p>
    <w:p w14:paraId="1ABBAAA7" w14:textId="77777777" w:rsidR="00F97160" w:rsidRPr="00020CF3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ďalej zahŕňa riešenie havarijných situácii, ktoré ohrozujú plynulý chod školských zariadení, spôsobený zlým technickým stavom budov a vybavení</w:t>
      </w:r>
      <w:r w:rsidRPr="00020CF3">
        <w:rPr>
          <w:rFonts w:cstheme="minorHAnsi"/>
        </w:rPr>
        <w:t xml:space="preserve"> (oprava čerpadla, </w:t>
      </w:r>
      <w:r>
        <w:rPr>
          <w:rFonts w:cstheme="minorHAnsi"/>
        </w:rPr>
        <w:t xml:space="preserve">el. rozvodov, </w:t>
      </w:r>
      <w:r w:rsidRPr="00020CF3">
        <w:rPr>
          <w:rFonts w:cstheme="minorHAnsi"/>
        </w:rPr>
        <w:t>...)</w:t>
      </w:r>
    </w:p>
    <w:p w14:paraId="2C8E9B2A" w14:textId="77777777" w:rsidR="00F97160" w:rsidRDefault="00F97160" w:rsidP="00F97160">
      <w:pPr>
        <w:pStyle w:val="Odsekzoznamu"/>
        <w:numPr>
          <w:ilvl w:val="0"/>
          <w:numId w:val="12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Úprava rozpočtu taktiež zahŕňa preklasifikovanie bežných výdavkov na kapitálové výdavky na nákup umývačky riadu potrebnej pre chod školskej jedálne, získanie účelovo viazaného daru na zakúpenie, montáž, stavebné práce a dopravu športových prvkov</w:t>
      </w:r>
    </w:p>
    <w:p w14:paraId="75E37392" w14:textId="77777777" w:rsidR="002318E9" w:rsidRDefault="003E540F" w:rsidP="00906A9C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121363D" wp14:editId="222AAD3C">
            <wp:extent cx="6214109" cy="2286000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380" cy="228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595A9" w14:textId="77777777" w:rsidR="0024644A" w:rsidRDefault="002464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69DB4457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1BD9B68B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A44A000" wp14:editId="15BB0B9A">
            <wp:extent cx="5760720" cy="5717210"/>
            <wp:effectExtent l="19050" t="0" r="0" b="0"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AC6B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54AF4802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636A44F9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7EE4F2E6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304757B8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3BFCF28E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71F1FAB7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6B2C231B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174BC0EA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50349F75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0DD62C2A" w14:textId="77777777" w:rsidR="00E4174A" w:rsidRDefault="00E4174A" w:rsidP="006D6F8B">
      <w:pPr>
        <w:jc w:val="center"/>
        <w:rPr>
          <w:b/>
          <w:bCs/>
          <w:i/>
          <w:iCs/>
          <w:sz w:val="32"/>
          <w:szCs w:val="32"/>
        </w:rPr>
      </w:pPr>
    </w:p>
    <w:p w14:paraId="6C6906DF" w14:textId="77777777" w:rsidR="006D6F8B" w:rsidRPr="005A0006" w:rsidRDefault="006D6F8B" w:rsidP="006D6F8B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t>Zmeny v bode č. 2</w:t>
      </w:r>
    </w:p>
    <w:p w14:paraId="14397B05" w14:textId="77777777" w:rsidR="006D6F8B" w:rsidRDefault="006D6F8B" w:rsidP="006D6F8B">
      <w:pPr>
        <w:jc w:val="both"/>
      </w:pPr>
    </w:p>
    <w:p w14:paraId="7C3138C4" w14:textId="77777777" w:rsidR="006D6F8B" w:rsidRDefault="006D6F8B" w:rsidP="006D6F8B">
      <w:pPr>
        <w:jc w:val="both"/>
        <w:rPr>
          <w:b/>
          <w:bCs/>
        </w:rPr>
      </w:pPr>
      <w:r>
        <w:rPr>
          <w:b/>
          <w:bCs/>
        </w:rPr>
        <w:t xml:space="preserve">K bodu B)   </w:t>
      </w:r>
      <w:r w:rsidRPr="00FE652E">
        <w:rPr>
          <w:b/>
          <w:bCs/>
        </w:rPr>
        <w:t xml:space="preserve">Zdôvodnenie </w:t>
      </w:r>
      <w:r>
        <w:rPr>
          <w:b/>
          <w:bCs/>
        </w:rPr>
        <w:t xml:space="preserve">potreby </w:t>
      </w:r>
      <w:r w:rsidRPr="00FE652E">
        <w:rPr>
          <w:b/>
          <w:bCs/>
        </w:rPr>
        <w:t xml:space="preserve">zmien na </w:t>
      </w:r>
      <w:r>
        <w:rPr>
          <w:b/>
          <w:bCs/>
        </w:rPr>
        <w:t xml:space="preserve">výdajovej strane rozpočtu: </w:t>
      </w:r>
    </w:p>
    <w:p w14:paraId="075BC220" w14:textId="77777777" w:rsidR="00FE652E" w:rsidRDefault="00FE652E" w:rsidP="00906A9C">
      <w:pPr>
        <w:jc w:val="both"/>
        <w:rPr>
          <w:b/>
          <w:bCs/>
        </w:rPr>
      </w:pPr>
    </w:p>
    <w:p w14:paraId="6632F01B" w14:textId="77777777" w:rsidR="00966B1A" w:rsidRDefault="00966B1A" w:rsidP="00906A9C">
      <w:pPr>
        <w:jc w:val="both"/>
      </w:pPr>
      <w:r w:rsidRPr="00C111AA">
        <w:rPr>
          <w:b/>
          <w:bCs/>
          <w:u w:val="single"/>
        </w:rPr>
        <w:t xml:space="preserve">Zmena v bode a) Zvýšenie </w:t>
      </w:r>
      <w:r w:rsidR="00FB65B3" w:rsidRPr="00C111AA">
        <w:rPr>
          <w:b/>
          <w:bCs/>
          <w:u w:val="single"/>
        </w:rPr>
        <w:t xml:space="preserve">bežných </w:t>
      </w:r>
      <w:r w:rsidRPr="00C111AA">
        <w:rPr>
          <w:b/>
          <w:bCs/>
          <w:u w:val="single"/>
        </w:rPr>
        <w:t>výdavkov na poistenie majetku</w:t>
      </w:r>
      <w:r w:rsidRPr="00966B1A">
        <w:t xml:space="preserve"> mestskej časti</w:t>
      </w:r>
      <w:r>
        <w:t xml:space="preserve"> je potrebné z dôvodu, že s účinnosťou od 1.4.2022 bola uzatvorená nová poistná zmluva  s ČSOB Poisťovňou, a.s. na poistenie hnuteľného aj nehnuteľného majetku mestskej časti, vzhľadom k tomu, že poistná suma starej zmluvy </w:t>
      </w:r>
      <w:r w:rsidR="00E609E5">
        <w:t>nekryla reálnu hodnotu majetku mestskej časti. Ročné poistné sumy boli navýšené aj o daň z poistné celkom o 11 200 €</w:t>
      </w:r>
      <w:r w:rsidR="00D52B7A">
        <w:t>, čo bude mať za následok vyššie čerpanie rozpočtu o túto sumu v programe 3., podprogram 3.5</w:t>
      </w:r>
    </w:p>
    <w:p w14:paraId="4B323BA3" w14:textId="77777777" w:rsidR="006D6F8B" w:rsidRDefault="006D6F8B" w:rsidP="00906A9C">
      <w:pPr>
        <w:jc w:val="both"/>
      </w:pPr>
    </w:p>
    <w:p w14:paraId="6126B168" w14:textId="77777777" w:rsidR="00DA4AAC" w:rsidRDefault="00DA4AAC" w:rsidP="00906A9C">
      <w:pPr>
        <w:jc w:val="both"/>
      </w:pPr>
      <w:r>
        <w:rPr>
          <w:noProof/>
        </w:rPr>
        <w:drawing>
          <wp:inline distT="0" distB="0" distL="0" distR="0" wp14:anchorId="43B8C021" wp14:editId="21AF79C6">
            <wp:extent cx="5760720" cy="1918335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0D0C7" w14:textId="77777777" w:rsidR="00097D6E" w:rsidRDefault="00097D6E" w:rsidP="00906A9C">
      <w:pPr>
        <w:jc w:val="both"/>
        <w:rPr>
          <w:b/>
          <w:bCs/>
          <w:u w:val="single"/>
        </w:rPr>
      </w:pPr>
    </w:p>
    <w:p w14:paraId="17062EA6" w14:textId="77777777" w:rsidR="00097D6E" w:rsidRDefault="00097D6E" w:rsidP="00906A9C">
      <w:pPr>
        <w:jc w:val="both"/>
        <w:rPr>
          <w:b/>
          <w:bCs/>
          <w:u w:val="single"/>
        </w:rPr>
      </w:pPr>
    </w:p>
    <w:p w14:paraId="63384D4D" w14:textId="77777777" w:rsidR="00E609E5" w:rsidRPr="00C111AA" w:rsidRDefault="00E609E5" w:rsidP="00906A9C">
      <w:pPr>
        <w:jc w:val="both"/>
        <w:rPr>
          <w:u w:val="single"/>
        </w:rPr>
      </w:pPr>
      <w:r w:rsidRPr="00C111AA">
        <w:rPr>
          <w:b/>
          <w:bCs/>
          <w:u w:val="single"/>
        </w:rPr>
        <w:t xml:space="preserve">Zmena v bode b) Zvýšenie </w:t>
      </w:r>
      <w:r w:rsidR="00FB65B3" w:rsidRPr="00C111AA">
        <w:rPr>
          <w:b/>
          <w:bCs/>
          <w:u w:val="single"/>
        </w:rPr>
        <w:t xml:space="preserve">bežných </w:t>
      </w:r>
      <w:r w:rsidRPr="00C111AA">
        <w:rPr>
          <w:b/>
          <w:bCs/>
          <w:u w:val="single"/>
        </w:rPr>
        <w:t>výdavkov na kultúrnu činnosť</w:t>
      </w:r>
    </w:p>
    <w:p w14:paraId="01FA6941" w14:textId="77777777" w:rsidR="006D6F8B" w:rsidRDefault="006D6F8B" w:rsidP="00906A9C">
      <w:pPr>
        <w:jc w:val="both"/>
      </w:pPr>
    </w:p>
    <w:p w14:paraId="7EA493C3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</w:pPr>
      <w:r w:rsidRPr="00C06229">
        <w:t>Navrhujeme navýšenie rozpočtu na položke:</w:t>
      </w:r>
    </w:p>
    <w:p w14:paraId="0AC5A60B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ind w:left="1004"/>
      </w:pPr>
      <w:r w:rsidRPr="00C06229">
        <w:t> </w:t>
      </w:r>
    </w:p>
    <w:p w14:paraId="5B7FA453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jc w:val="both"/>
      </w:pPr>
      <w:r w:rsidRPr="00C06229">
        <w:t>Program  10  podprogram 10.1 - Kultúrna činnosť- kultúrne podujatia o </w:t>
      </w:r>
      <w:r w:rsidRPr="00C06229">
        <w:rPr>
          <w:b/>
          <w:bCs/>
        </w:rPr>
        <w:t>20 000 eur.</w:t>
      </w:r>
    </w:p>
    <w:p w14:paraId="4ACFE40F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jc w:val="both"/>
      </w:pPr>
      <w:r w:rsidRPr="00C06229">
        <w:t>Tieto finančné prostriedky žiadame na pripravované kultúrne podujatie 22. ročník Súťaže vo varení guláša, ktoré je pre obyvateľov našej mestskej časti vždy úspešnou septembrovou tradíciou. </w:t>
      </w:r>
    </w:p>
    <w:p w14:paraId="246D0079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ind w:left="1004"/>
        <w:jc w:val="both"/>
      </w:pPr>
      <w:r w:rsidRPr="00C06229">
        <w:rPr>
          <w:i/>
          <w:iCs/>
        </w:rPr>
        <w:t> </w:t>
      </w:r>
    </w:p>
    <w:p w14:paraId="04B7E074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jc w:val="both"/>
      </w:pPr>
      <w:r w:rsidRPr="00C06229">
        <w:t>Všetky naše podujatia sú určené pre širokú verejnosť, ktorá si, po skoro 2 ročnej pauze, naplno  užíva a teší sa, zo spoločne stráveného času s rodinou a priateľmi na rôznych našich akciách. Aj preto očakávame vyššiu návštevnosť na podujatiach, čo sa nám potvrdilo pri realizácii doteraz uskutočnených podujatí.</w:t>
      </w:r>
    </w:p>
    <w:p w14:paraId="1D2A61FD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ind w:left="1004"/>
      </w:pPr>
      <w:r w:rsidRPr="00C06229">
        <w:t> </w:t>
      </w:r>
    </w:p>
    <w:p w14:paraId="7DFDE1F3" w14:textId="77777777" w:rsidR="00C06229" w:rsidRPr="00C06229" w:rsidRDefault="00C06229" w:rsidP="00C06229">
      <w:pPr>
        <w:pStyle w:val="m8885755310435354481msolistparagraph"/>
        <w:shd w:val="clear" w:color="auto" w:fill="FFFFFF"/>
        <w:spacing w:before="0" w:beforeAutospacing="0" w:after="0" w:afterAutospacing="0" w:line="202" w:lineRule="atLeast"/>
        <w:jc w:val="both"/>
      </w:pPr>
      <w:r w:rsidRPr="00C06229">
        <w:t>Na základe celosvetového diania stúpla cena, či už služieb dodávateľov alebo tovaru, čo ovplyvňuje aj celkové finančné krytie podujatí.</w:t>
      </w:r>
    </w:p>
    <w:p w14:paraId="0FD22C94" w14:textId="77777777" w:rsidR="00097D6E" w:rsidRPr="00FB65B3" w:rsidRDefault="00097D6E" w:rsidP="00FB65B3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DF54DA" wp14:editId="09C72AAE">
            <wp:extent cx="5760720" cy="1745615"/>
            <wp:effectExtent l="0" t="0" r="0" b="698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4E2A4" w14:textId="77777777" w:rsidR="00FB65B3" w:rsidRPr="00C111AA" w:rsidRDefault="00FB65B3" w:rsidP="00FB65B3">
      <w:pPr>
        <w:jc w:val="both"/>
        <w:rPr>
          <w:b/>
          <w:bCs/>
          <w:u w:val="single"/>
        </w:rPr>
      </w:pPr>
      <w:r w:rsidRPr="00C111AA">
        <w:rPr>
          <w:b/>
          <w:bCs/>
          <w:u w:val="single"/>
        </w:rPr>
        <w:t>Zmena v bode c) Zvýšenie bežných výdavkov na Verejnú zeleň</w:t>
      </w:r>
    </w:p>
    <w:p w14:paraId="0F775BE3" w14:textId="77777777" w:rsidR="00FB65B3" w:rsidRDefault="00FB65B3" w:rsidP="00FB65B3">
      <w:pPr>
        <w:jc w:val="both"/>
        <w:rPr>
          <w:b/>
          <w:bCs/>
        </w:rPr>
      </w:pPr>
    </w:p>
    <w:p w14:paraId="710CD0AE" w14:textId="77777777" w:rsidR="00FB65B3" w:rsidRDefault="00391C38" w:rsidP="00FB65B3">
      <w:pPr>
        <w:jc w:val="both"/>
      </w:pPr>
      <w:r>
        <w:lastRenderedPageBreak/>
        <w:t xml:space="preserve">Navýšenie </w:t>
      </w:r>
      <w:r w:rsidR="00FB65B3" w:rsidRPr="00FB65B3">
        <w:t>Program</w:t>
      </w:r>
      <w:r>
        <w:t>u</w:t>
      </w:r>
      <w:r w:rsidR="00FB65B3" w:rsidRPr="00FB65B3">
        <w:t xml:space="preserve"> </w:t>
      </w:r>
      <w:r w:rsidR="00FB65B3">
        <w:t xml:space="preserve">11.3 </w:t>
      </w:r>
      <w:r>
        <w:t xml:space="preserve">o 69 000 € je dôležité z dôvodu, že je potrebné zabezpečiť jednak orezy stromov nachádzajúcich sa v mestskej časti odborníkom, ktoré podľa odhadov bude stáť cca 14 000 € ako aj kosenie verejnej zelene, aspoň 2 kosby navyše, ktoré zvýšia výdajovú časť bežného rozpočtu cca o 55 000 €.  </w:t>
      </w:r>
    </w:p>
    <w:p w14:paraId="13AE8C6A" w14:textId="77777777" w:rsidR="00E03184" w:rsidRDefault="00E03184" w:rsidP="00E03184">
      <w:pPr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Schválené výdavky v </w:t>
      </w:r>
      <w:r w:rsidRPr="00E03E28">
        <w:rPr>
          <w:rFonts w:cs="Arial"/>
          <w:szCs w:val="22"/>
        </w:rPr>
        <w:t>rozpočt</w:t>
      </w:r>
      <w:r>
        <w:rPr>
          <w:rFonts w:cs="Arial"/>
          <w:szCs w:val="22"/>
        </w:rPr>
        <w:t>e</w:t>
      </w:r>
      <w:r w:rsidRPr="00E03E2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pre rok 2022 postačia iba na štyri kosby verejnej zelene, pričom tento počet kosieb sa opäť ukazuje ako nedostatočný.</w:t>
      </w:r>
    </w:p>
    <w:p w14:paraId="2A4D72E2" w14:textId="77777777" w:rsidR="00E03184" w:rsidRDefault="00E03184" w:rsidP="00E03184">
      <w:pPr>
        <w:ind w:firstLine="708"/>
        <w:jc w:val="both"/>
        <w:rPr>
          <w:szCs w:val="22"/>
        </w:rPr>
      </w:pPr>
      <w:r>
        <w:rPr>
          <w:rFonts w:cs="Arial"/>
          <w:szCs w:val="22"/>
        </w:rPr>
        <w:t xml:space="preserve">Vzhľadom na vývoj počasia, doteraz a aj v dlhodobej predpovedi priaznivého pre rast tráv a fakt, že len k začiatku mesiaca jún sme v našej Mestskej časti Bratislava – Podunajské Biskupice previedli už dva kompletné cykly kosenia, ako aj vykášanie </w:t>
      </w:r>
      <w:proofErr w:type="spellStart"/>
      <w:r>
        <w:rPr>
          <w:rFonts w:cs="Arial"/>
          <w:szCs w:val="22"/>
        </w:rPr>
        <w:t>ruderálnych</w:t>
      </w:r>
      <w:proofErr w:type="spellEnd"/>
      <w:r>
        <w:rPr>
          <w:rFonts w:cs="Arial"/>
          <w:szCs w:val="22"/>
        </w:rPr>
        <w:t xml:space="preserve"> porastov mimo bežnej údržby verejnej zelene v obytných zónach (cyklotrasy), požadujeme navýšiť sumu rozpočtu </w:t>
      </w:r>
      <w:r>
        <w:rPr>
          <w:szCs w:val="22"/>
        </w:rPr>
        <w:t xml:space="preserve">položky podprogramu 11.3 - verejná zeleň z doterajšej sumy 240 000 euro </w:t>
      </w:r>
      <w:r w:rsidRPr="00411E72">
        <w:rPr>
          <w:bCs/>
          <w:szCs w:val="22"/>
        </w:rPr>
        <w:t>o </w:t>
      </w:r>
      <w:r>
        <w:rPr>
          <w:bCs/>
          <w:szCs w:val="22"/>
        </w:rPr>
        <w:t>69</w:t>
      </w:r>
      <w:r w:rsidRPr="00411E72">
        <w:rPr>
          <w:bCs/>
          <w:szCs w:val="22"/>
        </w:rPr>
        <w:t> 000 euro</w:t>
      </w:r>
      <w:r>
        <w:rPr>
          <w:b/>
          <w:szCs w:val="22"/>
        </w:rPr>
        <w:t xml:space="preserve"> </w:t>
      </w:r>
      <w:r>
        <w:rPr>
          <w:szCs w:val="22"/>
        </w:rPr>
        <w:t xml:space="preserve">na sumu </w:t>
      </w:r>
      <w:r w:rsidR="00140798">
        <w:rPr>
          <w:szCs w:val="22"/>
        </w:rPr>
        <w:t>309</w:t>
      </w:r>
      <w:r>
        <w:rPr>
          <w:szCs w:val="22"/>
        </w:rPr>
        <w:t xml:space="preserve"> 000 euro.</w:t>
      </w:r>
      <w:r w:rsidR="00140798">
        <w:rPr>
          <w:szCs w:val="22"/>
        </w:rPr>
        <w:t xml:space="preserve"> </w:t>
      </w:r>
    </w:p>
    <w:p w14:paraId="783D20AA" w14:textId="77777777" w:rsidR="00E03184" w:rsidRDefault="00E03184" w:rsidP="00E03184">
      <w:pPr>
        <w:ind w:firstLine="708"/>
        <w:jc w:val="both"/>
        <w:rPr>
          <w:szCs w:val="22"/>
        </w:rPr>
      </w:pPr>
      <w:r>
        <w:rPr>
          <w:szCs w:val="22"/>
        </w:rPr>
        <w:t xml:space="preserve">Navýšenie </w:t>
      </w:r>
      <w:r w:rsidR="00140798">
        <w:rPr>
          <w:szCs w:val="22"/>
        </w:rPr>
        <w:t xml:space="preserve"> výdavkov o požadovanú sumu </w:t>
      </w:r>
      <w:r>
        <w:rPr>
          <w:szCs w:val="22"/>
        </w:rPr>
        <w:t>umožní finančne pokryť ďalšie tri cykly kosenia.</w:t>
      </w:r>
    </w:p>
    <w:p w14:paraId="5C1B0E6B" w14:textId="77777777" w:rsidR="00DA4AAC" w:rsidRPr="00E03E28" w:rsidRDefault="00DA4AAC" w:rsidP="00E03184">
      <w:pPr>
        <w:ind w:firstLine="708"/>
        <w:jc w:val="both"/>
        <w:rPr>
          <w:rFonts w:cs="Arial"/>
          <w:szCs w:val="22"/>
        </w:rPr>
      </w:pPr>
    </w:p>
    <w:p w14:paraId="15051808" w14:textId="77777777" w:rsidR="00391C38" w:rsidRDefault="00DA4AAC" w:rsidP="00FB65B3">
      <w:pPr>
        <w:jc w:val="both"/>
      </w:pPr>
      <w:r>
        <w:rPr>
          <w:noProof/>
        </w:rPr>
        <w:drawing>
          <wp:inline distT="0" distB="0" distL="0" distR="0" wp14:anchorId="38BD15E0" wp14:editId="48FD02D9">
            <wp:extent cx="5760720" cy="1846580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7B9BA" w14:textId="77777777" w:rsidR="00AE216B" w:rsidRPr="00FB65B3" w:rsidRDefault="00AE216B" w:rsidP="00FB65B3">
      <w:pPr>
        <w:jc w:val="both"/>
      </w:pPr>
    </w:p>
    <w:p w14:paraId="2F1D1812" w14:textId="77777777" w:rsidR="00E4174A" w:rsidRDefault="00E4174A" w:rsidP="00CD1AAD">
      <w:pPr>
        <w:jc w:val="both"/>
        <w:rPr>
          <w:b/>
          <w:bCs/>
          <w:u w:val="single"/>
        </w:rPr>
      </w:pPr>
    </w:p>
    <w:p w14:paraId="0A313BFD" w14:textId="77777777" w:rsidR="00CD1AAD" w:rsidRPr="00C111AA" w:rsidRDefault="00CD1AAD" w:rsidP="00CD1AAD">
      <w:pPr>
        <w:jc w:val="both"/>
        <w:rPr>
          <w:b/>
          <w:bCs/>
          <w:u w:val="single"/>
        </w:rPr>
      </w:pPr>
      <w:r w:rsidRPr="00C111AA">
        <w:rPr>
          <w:b/>
          <w:bCs/>
          <w:u w:val="single"/>
        </w:rPr>
        <w:t>Zmena v bode d) Zvýšenie bežných výdavkov na stravovanie dôchodcov</w:t>
      </w:r>
    </w:p>
    <w:p w14:paraId="1DD71D66" w14:textId="77777777" w:rsidR="00CD1AAD" w:rsidRDefault="00CD1AAD" w:rsidP="00CD1AAD">
      <w:pPr>
        <w:jc w:val="both"/>
        <w:rPr>
          <w:b/>
          <w:bCs/>
        </w:rPr>
      </w:pPr>
    </w:p>
    <w:p w14:paraId="608F8647" w14:textId="77777777" w:rsidR="00AE216B" w:rsidRDefault="00AE216B" w:rsidP="00AE216B">
      <w:pPr>
        <w:rPr>
          <w:sz w:val="22"/>
          <w:szCs w:val="22"/>
        </w:rPr>
      </w:pPr>
      <w:r>
        <w:t>Mestská časť Bratislava – Podunajské Biskupice poskytuje príspevok na stravovanie v zmysle VZN zo dňa 8. decembra 2020 6/2020 o poskytovaní finančného príspevku na stravovanie obyvateľov mestskej časti Bratislava – Podunajské Biskupice. Vzhľadom na skutočnosť, že v roku 2022 došlo k značnému nárastu inflácie ako aj k enormnému nárastu cien energií a cien potravín a spotrebného tovaru, za účelom aspoň čiastočnej eliminácie zvýšenej potreby finančných prostriedkov na pokrytie životných nákladov, v ďalšom b</w:t>
      </w:r>
      <w:r w:rsidR="00F150E0">
        <w:t>o</w:t>
      </w:r>
      <w:r>
        <w:t xml:space="preserve">de rokovania miestneho zastupiteľstva predkladáme návrh všeobecne záväzného nariadenia mestskej časti Bratislava – Podunajské Biskupice, ktorým sa mení a dopĺňa všeobecne záväzné nariadenie mestskej časti Bratislava – Podunajské Biskupice č. 6/2020 o poskytovaní finančného príspevku na stravovanie obyvateľov mestskej časti Bratislava – Podunajské Biskupice, a to úpravou § 5, ods. (1) a ods. (2) pôvodného všeobecne záväzného nariadenia, pričom sa upravuje (navyšuje) suma príspevku v jednotlivých pásmach.  Zároveň návrh na navýšenie rozpočtu o sumu </w:t>
      </w:r>
      <w:r w:rsidRPr="004E7BDD">
        <w:rPr>
          <w:b/>
          <w:bCs/>
        </w:rPr>
        <w:t>18 000€ v programe 12, podprogram 12.6.</w:t>
      </w:r>
      <w:r>
        <w:t xml:space="preserve"> zohľadňuje aj navýšenie ceny stravného v </w:t>
      </w:r>
      <w:r w:rsidRPr="00AE216B">
        <w:t xml:space="preserve">stravovacích zariadeniach vyhradených na tento účel a to : ZŠ Biskupická a ZŠ Bieloruská ( cena stravného lístka navýšená z 2,14€ na 3,00€ ) , </w:t>
      </w:r>
      <w:proofErr w:type="spellStart"/>
      <w:r w:rsidRPr="00AE216B">
        <w:t>Buffalo</w:t>
      </w:r>
      <w:proofErr w:type="spellEnd"/>
      <w:r w:rsidRPr="00AE216B">
        <w:t xml:space="preserve"> a </w:t>
      </w:r>
      <w:proofErr w:type="spellStart"/>
      <w:r w:rsidRPr="00AE216B">
        <w:t>Marfuša</w:t>
      </w:r>
      <w:proofErr w:type="spellEnd"/>
      <w:r w:rsidRPr="00AE216B">
        <w:t xml:space="preserve"> ( cena stravného lístka navýšená z 3,50€ na 4,50€ ). Navýšené finančné prostriedky sú pre obdobie od 1.9.2022 do 31.12.2022.</w:t>
      </w:r>
    </w:p>
    <w:p w14:paraId="7D1F42C8" w14:textId="77777777" w:rsidR="006D6F8B" w:rsidRDefault="006D6F8B" w:rsidP="00906A9C">
      <w:pPr>
        <w:jc w:val="both"/>
      </w:pPr>
    </w:p>
    <w:p w14:paraId="3351EF90" w14:textId="77777777" w:rsidR="00E4174A" w:rsidRDefault="00E4174A" w:rsidP="00AE216B">
      <w:pPr>
        <w:jc w:val="both"/>
        <w:rPr>
          <w:b/>
          <w:bCs/>
          <w:u w:val="single"/>
        </w:rPr>
      </w:pPr>
    </w:p>
    <w:p w14:paraId="6960395B" w14:textId="77777777" w:rsidR="00AE216B" w:rsidRPr="00C111AA" w:rsidRDefault="00AE216B" w:rsidP="00AE216B">
      <w:pPr>
        <w:jc w:val="both"/>
        <w:rPr>
          <w:b/>
          <w:bCs/>
          <w:u w:val="single"/>
        </w:rPr>
      </w:pPr>
      <w:r w:rsidRPr="00C111AA">
        <w:rPr>
          <w:b/>
          <w:bCs/>
          <w:u w:val="single"/>
        </w:rPr>
        <w:t>Zmena v bode e) Zvýšenie bežných výdavkov na transfery pre žiakov 1. ročníka ZŠ</w:t>
      </w:r>
    </w:p>
    <w:p w14:paraId="2B85544B" w14:textId="77777777" w:rsidR="00AE216B" w:rsidRDefault="00AE216B" w:rsidP="00AE216B">
      <w:pPr>
        <w:jc w:val="both"/>
        <w:rPr>
          <w:b/>
          <w:bCs/>
        </w:rPr>
      </w:pPr>
    </w:p>
    <w:p w14:paraId="34FF7ADE" w14:textId="77777777" w:rsidR="00AE216B" w:rsidRDefault="00977435" w:rsidP="00AE216B">
      <w:pPr>
        <w:jc w:val="both"/>
        <w:rPr>
          <w:b/>
          <w:bCs/>
        </w:rPr>
      </w:pPr>
      <w:r>
        <w:lastRenderedPageBreak/>
        <w:t>Pre rodičov je začiatok školského roka finančne náročnejší, preto navrhujeme pre deti, ktoré nastupujú do prvého ročníka škôl jednorazový príspevok na nákup školských potrieb. Požiadať o tento príspevok môže len oprávnená osoba. Mestská časť prizná na základe žiadosti oprávnenej osobe a v zmysle navrhovaných zásad jednorazový finančný príspevok a to pre dieťa, ktoré nastúpilo na povinnú školskú dochádzku v základných školách v zriaďovateľskej pôsobnosti mestskej časti. Príspevok navrhujeme vo výške 30 eur pre jedno dieťa.</w:t>
      </w:r>
    </w:p>
    <w:p w14:paraId="48196446" w14:textId="77777777" w:rsidR="006D6F8B" w:rsidRDefault="004E7BDD" w:rsidP="00906A9C">
      <w:pPr>
        <w:jc w:val="both"/>
      </w:pPr>
      <w:r>
        <w:t xml:space="preserve">Oddelenie školstva vypracovalo „Zásady poskytovania jednorazového finančného príspevku pri nástupe dieťaťa na povinnú školskú dochádzku“, v zmysle ktorého by finančný príspevok za rok 2022 vyžiadal navýšenie rozpočtu o 6 000 € v programe </w:t>
      </w:r>
      <w:r w:rsidR="00D52B7A">
        <w:t>12, podprogram 12.7.</w:t>
      </w:r>
    </w:p>
    <w:p w14:paraId="1128B22A" w14:textId="77777777" w:rsidR="00097D6E" w:rsidRDefault="00097D6E" w:rsidP="00906A9C">
      <w:pPr>
        <w:jc w:val="both"/>
      </w:pPr>
    </w:p>
    <w:p w14:paraId="6147BBD7" w14:textId="77777777" w:rsidR="00D52B7A" w:rsidRDefault="00097D6E" w:rsidP="00906A9C">
      <w:pPr>
        <w:jc w:val="both"/>
      </w:pPr>
      <w:r>
        <w:rPr>
          <w:noProof/>
        </w:rPr>
        <w:drawing>
          <wp:inline distT="0" distB="0" distL="0" distR="0" wp14:anchorId="2D631BD2" wp14:editId="4E2F0AB9">
            <wp:extent cx="5760720" cy="3251200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04FE" w14:textId="77777777" w:rsidR="00D52B7A" w:rsidRDefault="00D52B7A" w:rsidP="00906A9C">
      <w:pPr>
        <w:jc w:val="both"/>
      </w:pPr>
    </w:p>
    <w:p w14:paraId="07124E9B" w14:textId="77777777" w:rsidR="00D52B7A" w:rsidRPr="00C111AA" w:rsidRDefault="00D52B7A" w:rsidP="00906A9C">
      <w:pPr>
        <w:jc w:val="both"/>
        <w:rPr>
          <w:b/>
          <w:bCs/>
          <w:u w:val="single"/>
        </w:rPr>
      </w:pPr>
      <w:r w:rsidRPr="00C111AA">
        <w:rPr>
          <w:b/>
          <w:bCs/>
          <w:u w:val="single"/>
        </w:rPr>
        <w:t xml:space="preserve">Zmena v bode f) Zvýšenie bežných výdavkov </w:t>
      </w:r>
      <w:r w:rsidR="00651E60" w:rsidRPr="00C111AA">
        <w:rPr>
          <w:b/>
          <w:bCs/>
          <w:u w:val="single"/>
        </w:rPr>
        <w:t xml:space="preserve">na </w:t>
      </w:r>
      <w:proofErr w:type="spellStart"/>
      <w:r w:rsidR="00651E60" w:rsidRPr="00C111AA">
        <w:rPr>
          <w:b/>
          <w:bCs/>
          <w:u w:val="single"/>
        </w:rPr>
        <w:t>Administravívu</w:t>
      </w:r>
      <w:proofErr w:type="spellEnd"/>
      <w:r w:rsidR="0094150F">
        <w:rPr>
          <w:b/>
          <w:bCs/>
          <w:u w:val="single"/>
        </w:rPr>
        <w:t xml:space="preserve"> o 15 000 € </w:t>
      </w:r>
    </w:p>
    <w:p w14:paraId="645E4AFA" w14:textId="77777777" w:rsidR="00651E60" w:rsidRDefault="00651E60" w:rsidP="00906A9C">
      <w:pPr>
        <w:jc w:val="both"/>
        <w:rPr>
          <w:b/>
          <w:bCs/>
        </w:rPr>
      </w:pPr>
    </w:p>
    <w:p w14:paraId="106F3B48" w14:textId="77777777" w:rsidR="00651E60" w:rsidRDefault="00651E60" w:rsidP="00670946">
      <w:pPr>
        <w:jc w:val="both"/>
        <w:rPr>
          <w:b/>
          <w:bCs/>
        </w:rPr>
      </w:pPr>
      <w:r w:rsidRPr="00670946">
        <w:rPr>
          <w:b/>
          <w:bCs/>
        </w:rPr>
        <w:t xml:space="preserve">Navýšenie bežných výdavkov na </w:t>
      </w:r>
      <w:r w:rsidR="00CC2229" w:rsidRPr="00670946">
        <w:rPr>
          <w:b/>
          <w:bCs/>
        </w:rPr>
        <w:t>stravovanie vlastných zamestnancov</w:t>
      </w:r>
      <w:r w:rsidRPr="00670946">
        <w:rPr>
          <w:b/>
          <w:bCs/>
        </w:rPr>
        <w:t xml:space="preserve"> o 10000 €</w:t>
      </w:r>
    </w:p>
    <w:p w14:paraId="1641E032" w14:textId="77777777" w:rsidR="00670946" w:rsidRPr="00651E60" w:rsidRDefault="00670946" w:rsidP="00670946">
      <w:pPr>
        <w:jc w:val="both"/>
      </w:pPr>
    </w:p>
    <w:p w14:paraId="7842A9FD" w14:textId="77777777" w:rsidR="00EF39BF" w:rsidRDefault="00345C3C" w:rsidP="00EF39BF">
      <w:pPr>
        <w:jc w:val="both"/>
      </w:pPr>
      <w:r w:rsidRPr="00DE5F32">
        <w:t>Opatrením MPSVaR č. 116/2022 bola od 1.5.2022 navýšená suma stravného pri pracovnej ceste trvajúcej viac ako 5 a menej ako 12 hodín z 5,</w:t>
      </w:r>
      <w:r w:rsidR="00670946">
        <w:t>1</w:t>
      </w:r>
      <w:r w:rsidRPr="00DE5F32">
        <w:t xml:space="preserve">0 € na 6,00 €, z ktorého sa počítajú </w:t>
      </w:r>
      <w:r w:rsidR="00DE5F32" w:rsidRPr="00DE5F32">
        <w:t>aj príspevky na stravovanie vlastných zamestnancov poskytované za podmienok ustanovených v</w:t>
      </w:r>
      <w:r w:rsidR="00DE5F32">
        <w:t> </w:t>
      </w:r>
      <w:r w:rsidR="00DE5F32" w:rsidRPr="00DE5F32">
        <w:t>Zákonníku</w:t>
      </w:r>
      <w:r w:rsidR="00DE5F32">
        <w:t xml:space="preserve"> práce.</w:t>
      </w:r>
      <w:r w:rsidR="00670946">
        <w:t xml:space="preserve"> Podľa predbežných informácií Ministerstva práce sa navrhuje ďalšie navýšenie stravného.</w:t>
      </w:r>
      <w:r w:rsidR="002865F0">
        <w:t xml:space="preserve"> </w:t>
      </w:r>
      <w:r w:rsidR="00EF39BF">
        <w:t>Navýšenie výdavkov na stravovanie vlastných zamestnancov v programe 13. podprogram 1 v položke 642 014 navrhujeme z uvedeného dôvodu navýšiť o 10 000 €</w:t>
      </w:r>
    </w:p>
    <w:p w14:paraId="30804838" w14:textId="77777777" w:rsidR="00EF39BF" w:rsidRDefault="00EF39BF" w:rsidP="00651E60">
      <w:pPr>
        <w:jc w:val="both"/>
      </w:pPr>
    </w:p>
    <w:p w14:paraId="445F692E" w14:textId="77777777" w:rsidR="008B303C" w:rsidRDefault="002865F0" w:rsidP="008B303C">
      <w:pPr>
        <w:jc w:val="both"/>
      </w:pPr>
      <w:r>
        <w:t>Nakoľko na základe novely zákona 311/2001 Z.z. Zákonníka práce, viacero zamestnancov od 1.1.2022 využilo možnosť poskytnutia účelovo viazaného finančného príspevku na stravovanie</w:t>
      </w:r>
      <w:r w:rsidR="00DE6036">
        <w:t xml:space="preserve">, ktorý sa podľa usmernenia MF SR klasifikuje na položke 642 014 Transfery jednotlivom, </w:t>
      </w:r>
      <w:r w:rsidR="008B303C">
        <w:t>navrhujeme v rámci programu 13 podprogram l presunúť 5 000 € z položky 637 014 Stravovanie na položku 642 014 Transfery jednotlivcom</w:t>
      </w:r>
      <w:r w:rsidR="005849DF">
        <w:t>. Po prepočítaní  predpokladaných výdavkov na stravovanie vlastným zamestnancom vo forme finančného príspevku za rok 2022</w:t>
      </w:r>
      <w:r w:rsidR="008B303C">
        <w:t> </w:t>
      </w:r>
      <w:r w:rsidR="005849DF">
        <w:t xml:space="preserve">je potrebných mať v programe 13.1 na položke 642 014 sumu 15 000 </w:t>
      </w:r>
      <w:r w:rsidR="005849DF">
        <w:lastRenderedPageBreak/>
        <w:t xml:space="preserve">€, pričom </w:t>
      </w:r>
      <w:r w:rsidR="008B303C">
        <w:t xml:space="preserve"> schválená suma</w:t>
      </w:r>
      <w:r w:rsidR="005849DF">
        <w:t xml:space="preserve"> v rozpočte na rok 2022</w:t>
      </w:r>
      <w:r w:rsidR="008B303C">
        <w:t xml:space="preserve"> na stravovanie zamestnancov</w:t>
      </w:r>
      <w:r w:rsidR="00BC2EA2">
        <w:t xml:space="preserve"> vo výške 55 000 €</w:t>
      </w:r>
      <w:r w:rsidR="008B303C">
        <w:t xml:space="preserve"> je klasifikovaná </w:t>
      </w:r>
      <w:r w:rsidR="005849DF">
        <w:t>na položke 637 014 stravovanie.</w:t>
      </w:r>
      <w:r w:rsidR="008B303C">
        <w:t xml:space="preserve"> </w:t>
      </w:r>
    </w:p>
    <w:p w14:paraId="1B52E593" w14:textId="77777777" w:rsidR="007B1E74" w:rsidRDefault="008B303C" w:rsidP="00C111AA">
      <w:pPr>
        <w:jc w:val="both"/>
        <w:rPr>
          <w:b/>
          <w:bCs/>
        </w:rPr>
      </w:pPr>
      <w:r>
        <w:t xml:space="preserve"> </w:t>
      </w:r>
    </w:p>
    <w:p w14:paraId="563E0667" w14:textId="77777777" w:rsidR="007B1E74" w:rsidRPr="00C111AA" w:rsidRDefault="007B1E74" w:rsidP="00C111AA">
      <w:pPr>
        <w:jc w:val="both"/>
        <w:rPr>
          <w:b/>
          <w:bCs/>
        </w:rPr>
      </w:pPr>
      <w:r w:rsidRPr="00C111AA">
        <w:rPr>
          <w:b/>
          <w:bCs/>
        </w:rPr>
        <w:t xml:space="preserve">Navýšenie bežných výdavkov na </w:t>
      </w:r>
      <w:r>
        <w:rPr>
          <w:b/>
          <w:bCs/>
        </w:rPr>
        <w:t>poplatky a odvody</w:t>
      </w:r>
      <w:r w:rsidRPr="00C111AA">
        <w:rPr>
          <w:b/>
          <w:bCs/>
        </w:rPr>
        <w:t xml:space="preserve"> o </w:t>
      </w:r>
      <w:r w:rsidR="00443805">
        <w:rPr>
          <w:b/>
          <w:bCs/>
        </w:rPr>
        <w:t>5</w:t>
      </w:r>
      <w:r w:rsidRPr="00C111AA">
        <w:rPr>
          <w:b/>
          <w:bCs/>
        </w:rPr>
        <w:t xml:space="preserve"> 000 €</w:t>
      </w:r>
    </w:p>
    <w:p w14:paraId="24887AA1" w14:textId="77777777" w:rsidR="007B1E74" w:rsidRPr="00D10EE8" w:rsidRDefault="007B1E74" w:rsidP="00651E60">
      <w:pPr>
        <w:jc w:val="both"/>
        <w:rPr>
          <w:color w:val="353535"/>
        </w:rPr>
      </w:pPr>
      <w:r>
        <w:rPr>
          <w:color w:val="353535"/>
        </w:rPr>
        <w:t xml:space="preserve">V programe 13. podprogram 1 navrhujeme navýšiť položku </w:t>
      </w:r>
      <w:r w:rsidR="004722D7">
        <w:rPr>
          <w:color w:val="353535"/>
        </w:rPr>
        <w:t xml:space="preserve">637 012 poplatky a odvody nakoľko  sa javí vyššie čerpanie oproti schválenému rozpočtu na tejto položke z dôvodu, že sa navýšili </w:t>
      </w:r>
      <w:r w:rsidR="00D10EE8">
        <w:rPr>
          <w:color w:val="353535"/>
        </w:rPr>
        <w:t xml:space="preserve">výdavky na tejto položke . Na túto položku sú zúčtované medzi inými, výdavky </w:t>
      </w:r>
      <w:r w:rsidR="00D10EE8" w:rsidRPr="00D10EE8">
        <w:rPr>
          <w:color w:val="252525"/>
          <w:shd w:val="clear" w:color="auto" w:fill="FFFFFF"/>
        </w:rPr>
        <w:t>za vedenie účtov, manipulačné, správne, súdne, notárske, uloženie odpadu, vypúšťanie odpadových vôd do povrchových vôd alebo do podzemných vôd, znečistenie ovzdušia, odvod za neplnenie povinného podielu zamestnávania občanov so zmenenou p</w:t>
      </w:r>
      <w:r w:rsidR="00D10EE8">
        <w:rPr>
          <w:color w:val="252525"/>
          <w:shd w:val="clear" w:color="auto" w:fill="FFFFFF"/>
        </w:rPr>
        <w:t>racovnou schopnosťou atď.</w:t>
      </w:r>
      <w:r w:rsidR="00D10EE8" w:rsidRPr="00D10EE8">
        <w:t xml:space="preserve"> </w:t>
      </w:r>
    </w:p>
    <w:p w14:paraId="22D54AD5" w14:textId="77777777" w:rsidR="00FB36D6" w:rsidRDefault="00FB36D6" w:rsidP="004C5C1B">
      <w:pPr>
        <w:jc w:val="both"/>
        <w:rPr>
          <w:rFonts w:ascii="Merriweather" w:hAnsi="Merriweather"/>
          <w:color w:val="353535"/>
        </w:rPr>
      </w:pPr>
    </w:p>
    <w:p w14:paraId="6BA486C6" w14:textId="77777777" w:rsidR="005A0006" w:rsidRDefault="002318E9" w:rsidP="004C5C1B">
      <w:pPr>
        <w:jc w:val="both"/>
        <w:rPr>
          <w:rFonts w:ascii="Merriweather" w:hAnsi="Merriweather"/>
          <w:color w:val="353535"/>
        </w:rPr>
      </w:pPr>
      <w:r>
        <w:rPr>
          <w:noProof/>
        </w:rPr>
        <w:drawing>
          <wp:inline distT="0" distB="0" distL="0" distR="0" wp14:anchorId="7DBB4753" wp14:editId="14AC3F7B">
            <wp:extent cx="5760720" cy="117094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3904" w14:textId="77777777" w:rsidR="002318E9" w:rsidRDefault="002318E9" w:rsidP="005A0006">
      <w:pPr>
        <w:jc w:val="center"/>
        <w:rPr>
          <w:b/>
          <w:bCs/>
          <w:i/>
          <w:iCs/>
          <w:sz w:val="32"/>
          <w:szCs w:val="32"/>
        </w:rPr>
      </w:pPr>
    </w:p>
    <w:p w14:paraId="3F3F1543" w14:textId="77777777" w:rsidR="005A0006" w:rsidRPr="005A0006" w:rsidRDefault="005A0006" w:rsidP="005A0006">
      <w:pPr>
        <w:jc w:val="center"/>
        <w:rPr>
          <w:b/>
          <w:bCs/>
          <w:i/>
          <w:iCs/>
          <w:sz w:val="32"/>
          <w:szCs w:val="32"/>
        </w:rPr>
      </w:pPr>
      <w:r w:rsidRPr="005A0006">
        <w:rPr>
          <w:b/>
          <w:bCs/>
          <w:i/>
          <w:iCs/>
          <w:sz w:val="32"/>
          <w:szCs w:val="32"/>
        </w:rPr>
        <w:t>Zmeny v bode č. 3</w:t>
      </w:r>
    </w:p>
    <w:p w14:paraId="721F77C4" w14:textId="77777777" w:rsidR="005A0006" w:rsidRDefault="005A0006" w:rsidP="004C5C1B">
      <w:pPr>
        <w:jc w:val="both"/>
        <w:rPr>
          <w:b/>
          <w:bCs/>
        </w:rPr>
      </w:pPr>
    </w:p>
    <w:p w14:paraId="3C427E88" w14:textId="77777777" w:rsidR="004C5C1B" w:rsidRPr="00230FBE" w:rsidRDefault="005A0006" w:rsidP="004C5C1B">
      <w:pPr>
        <w:jc w:val="both"/>
        <w:rPr>
          <w:b/>
          <w:bCs/>
        </w:rPr>
      </w:pPr>
      <w:r>
        <w:rPr>
          <w:b/>
          <w:bCs/>
        </w:rPr>
        <w:t xml:space="preserve">K bodu C)   </w:t>
      </w:r>
      <w:r w:rsidRPr="00FE652E">
        <w:rPr>
          <w:b/>
          <w:bCs/>
        </w:rPr>
        <w:t xml:space="preserve">Zdôvodnenie </w:t>
      </w:r>
      <w:r>
        <w:rPr>
          <w:b/>
          <w:bCs/>
        </w:rPr>
        <w:t xml:space="preserve">potreby </w:t>
      </w:r>
      <w:r w:rsidRPr="00FE652E">
        <w:rPr>
          <w:b/>
          <w:bCs/>
        </w:rPr>
        <w:t xml:space="preserve">zmien na </w:t>
      </w:r>
      <w:r>
        <w:rPr>
          <w:b/>
          <w:bCs/>
        </w:rPr>
        <w:t>výdajovej strane rozpočtu</w:t>
      </w:r>
      <w:r w:rsidRPr="00230FBE">
        <w:rPr>
          <w:b/>
          <w:bCs/>
        </w:rPr>
        <w:t xml:space="preserve"> </w:t>
      </w:r>
      <w:r w:rsidR="004C5C1B" w:rsidRPr="00230FBE">
        <w:rPr>
          <w:b/>
          <w:bCs/>
        </w:rPr>
        <w:t>Nákup špeciálneho vozidla pre DHZ</w:t>
      </w:r>
    </w:p>
    <w:p w14:paraId="5DFD09A3" w14:textId="77777777" w:rsidR="004C5C1B" w:rsidRPr="004C5C1B" w:rsidRDefault="004C5C1B" w:rsidP="004C5C1B">
      <w:pPr>
        <w:jc w:val="both"/>
      </w:pPr>
      <w:r w:rsidRPr="004C5C1B">
        <w:t>V roku 2021 bola na špeciálne vozidlo pre DHZ uzatvorená nájomná zmluva s opciou odkúpenia predmetného vozidla. V návrhu rozpočtu na rok 2022 sa v bežných výdavkoch na sanovanie nájmu nachádza 11.000 EUR. Vlastník vozidla sa na MČ obrátil s ponukou na odpredaj predmetu nájmu. Doplatok kúpnej ceny po započítaní zaplatených nájmov predstavuje 18.000 EUR. Vzhľadom na uvedené je potrebné predmetné náklady zohľadniť vo výdavkovej časti kapitálového rozpočtu jeho navýšením o 7.000 EUR a presunom 11.000 EUR z bežného rozpočtu do rozpočtu kapitálového.</w:t>
      </w:r>
    </w:p>
    <w:p w14:paraId="4F679113" w14:textId="77777777" w:rsidR="00FB36D6" w:rsidRDefault="00FB36D6" w:rsidP="003E45DA">
      <w:pPr>
        <w:jc w:val="both"/>
      </w:pPr>
    </w:p>
    <w:p w14:paraId="53355E18" w14:textId="77777777" w:rsidR="00FB36D6" w:rsidRDefault="00FB36D6" w:rsidP="003E45DA">
      <w:pPr>
        <w:jc w:val="both"/>
      </w:pPr>
    </w:p>
    <w:tbl>
      <w:tblPr>
        <w:tblW w:w="7796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"/>
        <w:gridCol w:w="2667"/>
        <w:gridCol w:w="970"/>
        <w:gridCol w:w="1485"/>
        <w:gridCol w:w="1655"/>
      </w:tblGrid>
      <w:tr w:rsidR="00FB36D6" w:rsidRPr="002A2690" w14:paraId="3BC13E67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7908A" w14:textId="77777777" w:rsidR="00FB36D6" w:rsidRPr="00FE652E" w:rsidRDefault="00FB36D6" w:rsidP="00300C2A">
            <w:pPr>
              <w:rPr>
                <w:b/>
                <w:bCs/>
              </w:rPr>
            </w:pPr>
            <w:r>
              <w:rPr>
                <w:b/>
                <w:bCs/>
              </w:rPr>
              <w:t>Bod č. 3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0E576" w14:textId="77777777" w:rsidR="00FB36D6" w:rsidRPr="00FE652E" w:rsidRDefault="00FB36D6" w:rsidP="00300C2A">
            <w:pPr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20FA5DA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68B3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5FF6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</w:tr>
      <w:tr w:rsidR="00FB36D6" w:rsidRPr="002A2690" w14:paraId="58A28A2A" w14:textId="77777777" w:rsidTr="00FB36D6">
        <w:trPr>
          <w:trHeight w:val="43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F83CDAE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E768B5C" w14:textId="77777777" w:rsidR="00FB36D6" w:rsidRPr="002A2690" w:rsidRDefault="00FB36D6" w:rsidP="00300C2A">
            <w:pPr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Názov programu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24CD5211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D22393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BEŽNÉ VÝDAVKY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ABB097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Návrh zmeny rozpočtu</w:t>
            </w:r>
          </w:p>
        </w:tc>
      </w:tr>
      <w:tr w:rsidR="00FB36D6" w:rsidRPr="002A2690" w14:paraId="0231A4B5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E9B4A04" w14:textId="77777777" w:rsidR="00FB36D6" w:rsidRPr="002A2690" w:rsidRDefault="00FB36D6" w:rsidP="00300C2A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7376B6" w14:textId="77777777" w:rsidR="00FB36D6" w:rsidRPr="002A2690" w:rsidRDefault="00FB36D6" w:rsidP="00300C2A">
            <w:pPr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Administratíva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</w:tcPr>
          <w:p w14:paraId="269DF651" w14:textId="77777777" w:rsidR="00FB36D6" w:rsidRPr="002A2690" w:rsidRDefault="00FB36D6" w:rsidP="00300C2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FF3EDF" w14:textId="77777777" w:rsidR="00FB36D6" w:rsidRPr="002A2690" w:rsidRDefault="00FB36D6" w:rsidP="00300C2A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sz w:val="18"/>
                <w:szCs w:val="18"/>
              </w:rPr>
              <w:t>2 122 220 €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F1BA264" w14:textId="77777777" w:rsidR="00FB36D6" w:rsidRPr="002A2690" w:rsidRDefault="00FB36D6" w:rsidP="00300C2A">
            <w:pPr>
              <w:jc w:val="right"/>
              <w:rPr>
                <w:b/>
                <w:bCs/>
                <w:sz w:val="18"/>
                <w:szCs w:val="18"/>
              </w:rPr>
            </w:pPr>
            <w:r w:rsidRPr="002A2690">
              <w:rPr>
                <w:b/>
                <w:bCs/>
                <w:color w:val="FF0000"/>
                <w:sz w:val="18"/>
                <w:szCs w:val="18"/>
              </w:rPr>
              <w:t>-11 000 €</w:t>
            </w:r>
          </w:p>
        </w:tc>
      </w:tr>
      <w:tr w:rsidR="00FB36D6" w:rsidRPr="002A2690" w14:paraId="714762EE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86714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13.1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7545E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Podporná činnosť – správa MČ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19C6C6B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82FA6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2 103 720 €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8A0A4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color w:val="FF0000"/>
                <w:sz w:val="18"/>
                <w:szCs w:val="18"/>
              </w:rPr>
              <w:t>-11 000 €</w:t>
            </w:r>
          </w:p>
        </w:tc>
      </w:tr>
      <w:tr w:rsidR="00FB36D6" w:rsidRPr="002A2690" w14:paraId="6385DB44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B3CDF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13.2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B0CF4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Príprava volieb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83CD398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E37E0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18 500 €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2550E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 </w:t>
            </w:r>
          </w:p>
        </w:tc>
      </w:tr>
      <w:tr w:rsidR="00FB36D6" w:rsidRPr="002A2690" w14:paraId="3427D987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B019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5743E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0E93B19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D2058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D03F" w14:textId="77777777" w:rsidR="00FB36D6" w:rsidRPr="002A2690" w:rsidRDefault="00FB36D6" w:rsidP="00300C2A">
            <w:pPr>
              <w:rPr>
                <w:sz w:val="20"/>
                <w:szCs w:val="20"/>
              </w:rPr>
            </w:pPr>
          </w:p>
        </w:tc>
      </w:tr>
      <w:tr w:rsidR="00FB36D6" w:rsidRPr="002A2690" w14:paraId="5210D237" w14:textId="77777777" w:rsidTr="00FB36D6">
        <w:trPr>
          <w:trHeight w:val="43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D0E54F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F9FCAA" w14:textId="77777777" w:rsidR="00FB36D6" w:rsidRPr="002A2690" w:rsidRDefault="00FB36D6" w:rsidP="00300C2A">
            <w:pPr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Názov programu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</w:tcPr>
          <w:p w14:paraId="485ECE10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142083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KAPITÁLOVÉ VÝDAVKY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304697" w14:textId="77777777" w:rsidR="00FB36D6" w:rsidRPr="002A2690" w:rsidRDefault="00FB36D6" w:rsidP="00300C2A">
            <w:pPr>
              <w:jc w:val="center"/>
              <w:rPr>
                <w:b/>
                <w:bCs/>
                <w:sz w:val="20"/>
                <w:szCs w:val="20"/>
              </w:rPr>
            </w:pPr>
            <w:r w:rsidRPr="002A2690">
              <w:rPr>
                <w:b/>
                <w:bCs/>
                <w:sz w:val="20"/>
                <w:szCs w:val="20"/>
              </w:rPr>
              <w:t>Návrh zmeny rozpočtu</w:t>
            </w:r>
          </w:p>
        </w:tc>
      </w:tr>
      <w:tr w:rsidR="00FB36D6" w:rsidRPr="002A2690" w14:paraId="6CB61329" w14:textId="77777777" w:rsidTr="00FB36D6">
        <w:trPr>
          <w:trHeight w:val="437"/>
        </w:trPr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D6D22" w14:textId="77777777" w:rsidR="00FB36D6" w:rsidRPr="002A2690" w:rsidRDefault="00FB36D6" w:rsidP="00300C2A">
            <w:pPr>
              <w:jc w:val="right"/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5.2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936F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>Nákup automobilu DHZ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4DA3F" w14:textId="77777777" w:rsidR="00FB36D6" w:rsidRPr="002A2690" w:rsidRDefault="00FB36D6" w:rsidP="00300C2A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352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          -   €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B1F0" w14:textId="77777777" w:rsidR="00FB36D6" w:rsidRPr="002A2690" w:rsidRDefault="00FB36D6" w:rsidP="00300C2A">
            <w:pPr>
              <w:rPr>
                <w:sz w:val="18"/>
                <w:szCs w:val="18"/>
              </w:rPr>
            </w:pPr>
            <w:r w:rsidRPr="002A2690">
              <w:rPr>
                <w:sz w:val="18"/>
                <w:szCs w:val="18"/>
              </w:rPr>
              <w:t xml:space="preserve">               18 000 € </w:t>
            </w:r>
          </w:p>
        </w:tc>
      </w:tr>
    </w:tbl>
    <w:p w14:paraId="2009F6F8" w14:textId="77777777" w:rsidR="00FB36D6" w:rsidRPr="004C5C1B" w:rsidRDefault="00FB36D6" w:rsidP="003E45DA">
      <w:pPr>
        <w:jc w:val="both"/>
      </w:pPr>
    </w:p>
    <w:sectPr w:rsidR="00FB36D6" w:rsidRPr="004C5C1B" w:rsidSect="00912A33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3204" w14:textId="77777777" w:rsidR="00C43D6F" w:rsidRDefault="00C43D6F" w:rsidP="00412988">
      <w:r>
        <w:separator/>
      </w:r>
    </w:p>
  </w:endnote>
  <w:endnote w:type="continuationSeparator" w:id="0">
    <w:p w14:paraId="3C0A3C51" w14:textId="77777777" w:rsidR="00C43D6F" w:rsidRDefault="00C43D6F" w:rsidP="0041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4022886"/>
      <w:docPartObj>
        <w:docPartGallery w:val="Page Numbers (Bottom of Page)"/>
        <w:docPartUnique/>
      </w:docPartObj>
    </w:sdtPr>
    <w:sdtEndPr/>
    <w:sdtContent>
      <w:p w14:paraId="0AFD1481" w14:textId="77777777" w:rsidR="00412988" w:rsidRDefault="00482F96">
        <w:pPr>
          <w:pStyle w:val="Pta"/>
          <w:jc w:val="right"/>
        </w:pPr>
        <w:r>
          <w:fldChar w:fldCharType="begin"/>
        </w:r>
        <w:r w:rsidR="00412988">
          <w:instrText>PAGE   \* MERGEFORMAT</w:instrText>
        </w:r>
        <w:r>
          <w:fldChar w:fldCharType="separate"/>
        </w:r>
        <w:r w:rsidR="00E4174A">
          <w:rPr>
            <w:noProof/>
          </w:rPr>
          <w:t>12</w:t>
        </w:r>
        <w:r>
          <w:fldChar w:fldCharType="end"/>
        </w:r>
      </w:p>
    </w:sdtContent>
  </w:sdt>
  <w:p w14:paraId="2A085063" w14:textId="77777777" w:rsidR="00412988" w:rsidRDefault="004129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ABD1" w14:textId="77777777" w:rsidR="00C43D6F" w:rsidRDefault="00C43D6F" w:rsidP="00412988">
      <w:r>
        <w:separator/>
      </w:r>
    </w:p>
  </w:footnote>
  <w:footnote w:type="continuationSeparator" w:id="0">
    <w:p w14:paraId="1A7A2572" w14:textId="77777777" w:rsidR="00C43D6F" w:rsidRDefault="00C43D6F" w:rsidP="00412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4B5"/>
    <w:multiLevelType w:val="hybridMultilevel"/>
    <w:tmpl w:val="05F4B0D8"/>
    <w:lvl w:ilvl="0" w:tplc="FEBE5DF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84D31"/>
    <w:multiLevelType w:val="hybridMultilevel"/>
    <w:tmpl w:val="4EC2C3D6"/>
    <w:lvl w:ilvl="0" w:tplc="FCA00AE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860D2E"/>
    <w:multiLevelType w:val="hybridMultilevel"/>
    <w:tmpl w:val="C99C1F8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7A6D"/>
    <w:multiLevelType w:val="hybridMultilevel"/>
    <w:tmpl w:val="38F471F4"/>
    <w:lvl w:ilvl="0" w:tplc="92067EE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753CB6"/>
    <w:multiLevelType w:val="hybridMultilevel"/>
    <w:tmpl w:val="C422F6C4"/>
    <w:lvl w:ilvl="0" w:tplc="C19ACF5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31386E04"/>
    <w:multiLevelType w:val="hybridMultilevel"/>
    <w:tmpl w:val="B890F344"/>
    <w:lvl w:ilvl="0" w:tplc="76286E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81F90"/>
    <w:multiLevelType w:val="hybridMultilevel"/>
    <w:tmpl w:val="C99C1F80"/>
    <w:lvl w:ilvl="0" w:tplc="B64E86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0D85"/>
    <w:multiLevelType w:val="hybridMultilevel"/>
    <w:tmpl w:val="5974289C"/>
    <w:lvl w:ilvl="0" w:tplc="56CAF41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3424E4"/>
    <w:multiLevelType w:val="hybridMultilevel"/>
    <w:tmpl w:val="95DCB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274"/>
    <w:multiLevelType w:val="hybridMultilevel"/>
    <w:tmpl w:val="4EC2C3D6"/>
    <w:lvl w:ilvl="0" w:tplc="FFFFFFFF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930" w:hanging="360"/>
      </w:pPr>
    </w:lvl>
    <w:lvl w:ilvl="2" w:tplc="FFFFFFFF" w:tentative="1">
      <w:start w:val="1"/>
      <w:numFmt w:val="lowerRoman"/>
      <w:lvlText w:val="%3."/>
      <w:lvlJc w:val="right"/>
      <w:pPr>
        <w:ind w:left="2650" w:hanging="180"/>
      </w:pPr>
    </w:lvl>
    <w:lvl w:ilvl="3" w:tplc="FFFFFFFF" w:tentative="1">
      <w:start w:val="1"/>
      <w:numFmt w:val="decimal"/>
      <w:lvlText w:val="%4."/>
      <w:lvlJc w:val="left"/>
      <w:pPr>
        <w:ind w:left="3370" w:hanging="360"/>
      </w:pPr>
    </w:lvl>
    <w:lvl w:ilvl="4" w:tplc="FFFFFFFF" w:tentative="1">
      <w:start w:val="1"/>
      <w:numFmt w:val="lowerLetter"/>
      <w:lvlText w:val="%5."/>
      <w:lvlJc w:val="left"/>
      <w:pPr>
        <w:ind w:left="4090" w:hanging="360"/>
      </w:pPr>
    </w:lvl>
    <w:lvl w:ilvl="5" w:tplc="FFFFFFFF" w:tentative="1">
      <w:start w:val="1"/>
      <w:numFmt w:val="lowerRoman"/>
      <w:lvlText w:val="%6."/>
      <w:lvlJc w:val="right"/>
      <w:pPr>
        <w:ind w:left="4810" w:hanging="180"/>
      </w:pPr>
    </w:lvl>
    <w:lvl w:ilvl="6" w:tplc="FFFFFFFF" w:tentative="1">
      <w:start w:val="1"/>
      <w:numFmt w:val="decimal"/>
      <w:lvlText w:val="%7."/>
      <w:lvlJc w:val="left"/>
      <w:pPr>
        <w:ind w:left="5530" w:hanging="360"/>
      </w:pPr>
    </w:lvl>
    <w:lvl w:ilvl="7" w:tplc="FFFFFFFF" w:tentative="1">
      <w:start w:val="1"/>
      <w:numFmt w:val="lowerLetter"/>
      <w:lvlText w:val="%8."/>
      <w:lvlJc w:val="left"/>
      <w:pPr>
        <w:ind w:left="6250" w:hanging="360"/>
      </w:pPr>
    </w:lvl>
    <w:lvl w:ilvl="8" w:tplc="FFFFFFFF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8E93DE9"/>
    <w:multiLevelType w:val="hybridMultilevel"/>
    <w:tmpl w:val="91F0403E"/>
    <w:lvl w:ilvl="0" w:tplc="E264CC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D49BC"/>
    <w:multiLevelType w:val="hybridMultilevel"/>
    <w:tmpl w:val="9A509D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24341"/>
    <w:multiLevelType w:val="hybridMultilevel"/>
    <w:tmpl w:val="347C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959968">
    <w:abstractNumId w:val="11"/>
  </w:num>
  <w:num w:numId="2" w16cid:durableId="327291391">
    <w:abstractNumId w:val="8"/>
  </w:num>
  <w:num w:numId="3" w16cid:durableId="569459522">
    <w:abstractNumId w:val="0"/>
  </w:num>
  <w:num w:numId="4" w16cid:durableId="1556165039">
    <w:abstractNumId w:val="7"/>
  </w:num>
  <w:num w:numId="5" w16cid:durableId="77488115">
    <w:abstractNumId w:val="3"/>
  </w:num>
  <w:num w:numId="6" w16cid:durableId="746656683">
    <w:abstractNumId w:val="5"/>
  </w:num>
  <w:num w:numId="7" w16cid:durableId="1039163727">
    <w:abstractNumId w:val="1"/>
  </w:num>
  <w:num w:numId="8" w16cid:durableId="1675499435">
    <w:abstractNumId w:val="6"/>
  </w:num>
  <w:num w:numId="9" w16cid:durableId="1951888745">
    <w:abstractNumId w:val="2"/>
  </w:num>
  <w:num w:numId="10" w16cid:durableId="735976190">
    <w:abstractNumId w:val="4"/>
  </w:num>
  <w:num w:numId="11" w16cid:durableId="1408721407">
    <w:abstractNumId w:val="9"/>
  </w:num>
  <w:num w:numId="12" w16cid:durableId="1949772867">
    <w:abstractNumId w:val="12"/>
  </w:num>
  <w:num w:numId="13" w16cid:durableId="709961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20FAC"/>
    <w:rsid w:val="00036A4A"/>
    <w:rsid w:val="00091C3F"/>
    <w:rsid w:val="00097D6E"/>
    <w:rsid w:val="000A6F5B"/>
    <w:rsid w:val="000C4F5D"/>
    <w:rsid w:val="000C66B4"/>
    <w:rsid w:val="000D3174"/>
    <w:rsid w:val="000F576E"/>
    <w:rsid w:val="00107AEB"/>
    <w:rsid w:val="00110416"/>
    <w:rsid w:val="00115C2D"/>
    <w:rsid w:val="00140798"/>
    <w:rsid w:val="00141FEA"/>
    <w:rsid w:val="00183A58"/>
    <w:rsid w:val="00185609"/>
    <w:rsid w:val="001B7CD1"/>
    <w:rsid w:val="001C3E87"/>
    <w:rsid w:val="001C5D9A"/>
    <w:rsid w:val="001F6B34"/>
    <w:rsid w:val="00200EC5"/>
    <w:rsid w:val="00211013"/>
    <w:rsid w:val="00215182"/>
    <w:rsid w:val="00230FBE"/>
    <w:rsid w:val="002318E9"/>
    <w:rsid w:val="00236077"/>
    <w:rsid w:val="0024644A"/>
    <w:rsid w:val="00256307"/>
    <w:rsid w:val="00260066"/>
    <w:rsid w:val="002865F0"/>
    <w:rsid w:val="002A2690"/>
    <w:rsid w:val="002B1B69"/>
    <w:rsid w:val="002D4466"/>
    <w:rsid w:val="002E26CF"/>
    <w:rsid w:val="002E35A9"/>
    <w:rsid w:val="002E73DB"/>
    <w:rsid w:val="00305E50"/>
    <w:rsid w:val="00307E75"/>
    <w:rsid w:val="003329E0"/>
    <w:rsid w:val="00345C3C"/>
    <w:rsid w:val="00347A30"/>
    <w:rsid w:val="00353FD9"/>
    <w:rsid w:val="00373DA6"/>
    <w:rsid w:val="00391C38"/>
    <w:rsid w:val="00396248"/>
    <w:rsid w:val="003A1256"/>
    <w:rsid w:val="003A5062"/>
    <w:rsid w:val="003A5467"/>
    <w:rsid w:val="003B223B"/>
    <w:rsid w:val="003C0B0F"/>
    <w:rsid w:val="003C1F05"/>
    <w:rsid w:val="003E45DA"/>
    <w:rsid w:val="003E4F30"/>
    <w:rsid w:val="003E540F"/>
    <w:rsid w:val="003F0949"/>
    <w:rsid w:val="004027C1"/>
    <w:rsid w:val="00412988"/>
    <w:rsid w:val="00443805"/>
    <w:rsid w:val="004722D7"/>
    <w:rsid w:val="00482F96"/>
    <w:rsid w:val="004A0862"/>
    <w:rsid w:val="004B435B"/>
    <w:rsid w:val="004C5C1B"/>
    <w:rsid w:val="004E563D"/>
    <w:rsid w:val="004E7BDD"/>
    <w:rsid w:val="004F4B93"/>
    <w:rsid w:val="0051014F"/>
    <w:rsid w:val="00512291"/>
    <w:rsid w:val="00527C9A"/>
    <w:rsid w:val="00546579"/>
    <w:rsid w:val="00555DB2"/>
    <w:rsid w:val="00560DD4"/>
    <w:rsid w:val="005730FF"/>
    <w:rsid w:val="005849DF"/>
    <w:rsid w:val="00593981"/>
    <w:rsid w:val="00594C06"/>
    <w:rsid w:val="00597E47"/>
    <w:rsid w:val="005A0006"/>
    <w:rsid w:val="005F194E"/>
    <w:rsid w:val="00651E60"/>
    <w:rsid w:val="00664024"/>
    <w:rsid w:val="00670946"/>
    <w:rsid w:val="006872BE"/>
    <w:rsid w:val="006D2D95"/>
    <w:rsid w:val="006D6F8B"/>
    <w:rsid w:val="006F45AB"/>
    <w:rsid w:val="006F5BFA"/>
    <w:rsid w:val="007378F2"/>
    <w:rsid w:val="007427E2"/>
    <w:rsid w:val="0078301C"/>
    <w:rsid w:val="007B1E74"/>
    <w:rsid w:val="007B776B"/>
    <w:rsid w:val="007D34D7"/>
    <w:rsid w:val="00813585"/>
    <w:rsid w:val="008143A2"/>
    <w:rsid w:val="00864983"/>
    <w:rsid w:val="008932A0"/>
    <w:rsid w:val="008A6867"/>
    <w:rsid w:val="008B303C"/>
    <w:rsid w:val="008B33B2"/>
    <w:rsid w:val="008B790C"/>
    <w:rsid w:val="008C37EC"/>
    <w:rsid w:val="008D2864"/>
    <w:rsid w:val="00906A9C"/>
    <w:rsid w:val="00912A33"/>
    <w:rsid w:val="00926F36"/>
    <w:rsid w:val="00932C28"/>
    <w:rsid w:val="0094150F"/>
    <w:rsid w:val="00966B1A"/>
    <w:rsid w:val="0097241C"/>
    <w:rsid w:val="00977435"/>
    <w:rsid w:val="009A5E23"/>
    <w:rsid w:val="009E2CB0"/>
    <w:rsid w:val="009F60BB"/>
    <w:rsid w:val="00A02BD1"/>
    <w:rsid w:val="00A14AD4"/>
    <w:rsid w:val="00A30AC0"/>
    <w:rsid w:val="00A45E3D"/>
    <w:rsid w:val="00A47649"/>
    <w:rsid w:val="00A6726A"/>
    <w:rsid w:val="00A8663E"/>
    <w:rsid w:val="00A96FD0"/>
    <w:rsid w:val="00AD5BAF"/>
    <w:rsid w:val="00AD62D2"/>
    <w:rsid w:val="00AE216B"/>
    <w:rsid w:val="00B215C4"/>
    <w:rsid w:val="00B44AB3"/>
    <w:rsid w:val="00B45DDF"/>
    <w:rsid w:val="00B52CE9"/>
    <w:rsid w:val="00B55D40"/>
    <w:rsid w:val="00B57F53"/>
    <w:rsid w:val="00B72E62"/>
    <w:rsid w:val="00B76C73"/>
    <w:rsid w:val="00B973EF"/>
    <w:rsid w:val="00BA4703"/>
    <w:rsid w:val="00BA5235"/>
    <w:rsid w:val="00BA7618"/>
    <w:rsid w:val="00BC2EA2"/>
    <w:rsid w:val="00BD0BE0"/>
    <w:rsid w:val="00BE2758"/>
    <w:rsid w:val="00BE7449"/>
    <w:rsid w:val="00C06229"/>
    <w:rsid w:val="00C111AA"/>
    <w:rsid w:val="00C33360"/>
    <w:rsid w:val="00C34873"/>
    <w:rsid w:val="00C418D6"/>
    <w:rsid w:val="00C43D6F"/>
    <w:rsid w:val="00C52DE8"/>
    <w:rsid w:val="00C74780"/>
    <w:rsid w:val="00C8158C"/>
    <w:rsid w:val="00CB1F1A"/>
    <w:rsid w:val="00CB3A5A"/>
    <w:rsid w:val="00CC2229"/>
    <w:rsid w:val="00CD1AAD"/>
    <w:rsid w:val="00CD7EA0"/>
    <w:rsid w:val="00CE3EAB"/>
    <w:rsid w:val="00CE51FA"/>
    <w:rsid w:val="00CF7EFB"/>
    <w:rsid w:val="00D10EE8"/>
    <w:rsid w:val="00D15C7D"/>
    <w:rsid w:val="00D273D1"/>
    <w:rsid w:val="00D52B7A"/>
    <w:rsid w:val="00D711AB"/>
    <w:rsid w:val="00D933F6"/>
    <w:rsid w:val="00D9509E"/>
    <w:rsid w:val="00DA4AAC"/>
    <w:rsid w:val="00DB6165"/>
    <w:rsid w:val="00DD43AA"/>
    <w:rsid w:val="00DE5F32"/>
    <w:rsid w:val="00DE6036"/>
    <w:rsid w:val="00E03184"/>
    <w:rsid w:val="00E07EBF"/>
    <w:rsid w:val="00E20135"/>
    <w:rsid w:val="00E20D75"/>
    <w:rsid w:val="00E31B4E"/>
    <w:rsid w:val="00E4174A"/>
    <w:rsid w:val="00E50D04"/>
    <w:rsid w:val="00E609E5"/>
    <w:rsid w:val="00E77E2C"/>
    <w:rsid w:val="00E815F7"/>
    <w:rsid w:val="00EB0CFB"/>
    <w:rsid w:val="00EB2807"/>
    <w:rsid w:val="00EB7375"/>
    <w:rsid w:val="00EC3BD4"/>
    <w:rsid w:val="00ED36E8"/>
    <w:rsid w:val="00EF39BF"/>
    <w:rsid w:val="00F150E0"/>
    <w:rsid w:val="00F52B1D"/>
    <w:rsid w:val="00F678D4"/>
    <w:rsid w:val="00F74A66"/>
    <w:rsid w:val="00F77A80"/>
    <w:rsid w:val="00F97160"/>
    <w:rsid w:val="00FA4C69"/>
    <w:rsid w:val="00FB36D6"/>
    <w:rsid w:val="00FB4B0F"/>
    <w:rsid w:val="00FB65B3"/>
    <w:rsid w:val="00FC037F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F10A8"/>
  <w15:docId w15:val="{F4308F82-3E5D-4B22-B7B8-1AE6325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A6867"/>
    <w:pPr>
      <w:keepNext/>
      <w:suppressAutoHyphens/>
      <w:autoSpaceDN w:val="0"/>
      <w:textAlignment w:val="baseline"/>
      <w:outlineLvl w:val="3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83A58"/>
    <w:pPr>
      <w:ind w:left="720"/>
      <w:contextualSpacing/>
    </w:pPr>
  </w:style>
  <w:style w:type="table" w:styleId="Mriekatabuky">
    <w:name w:val="Table Grid"/>
    <w:basedOn w:val="Normlnatabuka"/>
    <w:uiPriority w:val="59"/>
    <w:rsid w:val="00AD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E5F3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E5F3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2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1298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22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m8885755310435354481msolistparagraph">
    <w:name w:val="m_8885755310435354481msolistparagraph"/>
    <w:basedOn w:val="Normlny"/>
    <w:rsid w:val="00C06229"/>
    <w:pPr>
      <w:spacing w:before="100" w:beforeAutospacing="1" w:after="100" w:afterAutospacing="1"/>
    </w:pPr>
  </w:style>
  <w:style w:type="character" w:customStyle="1" w:styleId="Nadpis4Char">
    <w:name w:val="Nadpis 4 Char"/>
    <w:basedOn w:val="Predvolenpsmoodseku"/>
    <w:link w:val="Nadpis4"/>
    <w:uiPriority w:val="9"/>
    <w:rsid w:val="008A6867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3078</Words>
  <Characters>18253</Characters>
  <Application>Microsoft Office Word</Application>
  <DocSecurity>0</DocSecurity>
  <Lines>629</Lines>
  <Paragraphs>242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Špaček Ján</dc:creator>
  <cp:lastModifiedBy>Špaček Ján</cp:lastModifiedBy>
  <cp:revision>2</cp:revision>
  <cp:lastPrinted>2022-06-23T09:19:00Z</cp:lastPrinted>
  <dcterms:created xsi:type="dcterms:W3CDTF">2022-06-23T09:34:00Z</dcterms:created>
  <dcterms:modified xsi:type="dcterms:W3CDTF">2022-06-23T09:34:00Z</dcterms:modified>
</cp:coreProperties>
</file>