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1673" w14:textId="77777777" w:rsidR="00FA4C69" w:rsidRPr="00C53E0E" w:rsidRDefault="00FA4C69" w:rsidP="00FA4C69">
      <w:pPr>
        <w:pStyle w:val="Zkladntext"/>
        <w:jc w:val="center"/>
        <w:rPr>
          <w:b/>
          <w:i/>
          <w:sz w:val="36"/>
          <w:szCs w:val="36"/>
        </w:rPr>
      </w:pPr>
      <w:r>
        <w:rPr>
          <w:noProof/>
        </w:rPr>
        <w:drawing>
          <wp:anchor distT="0" distB="0" distL="114300" distR="114300" simplePos="0" relativeHeight="251659264" behindDoc="0" locked="0" layoutInCell="1" allowOverlap="1" wp14:anchorId="58DA7CFA" wp14:editId="50F96739">
            <wp:simplePos x="0" y="0"/>
            <wp:positionH relativeFrom="column">
              <wp:posOffset>-138430</wp:posOffset>
            </wp:positionH>
            <wp:positionV relativeFrom="paragraph">
              <wp:posOffset>-108585</wp:posOffset>
            </wp:positionV>
            <wp:extent cx="847725" cy="1133475"/>
            <wp:effectExtent l="0" t="0" r="9525" b="9525"/>
            <wp:wrapNone/>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anchor>
        </w:drawing>
      </w:r>
      <w:r w:rsidRPr="008E5C87">
        <w:t xml:space="preserve">                                                                                                                                                                                                                                                                                                                                                                                                                                                                                                                                                                                                                                                                                                                                                                                                                                                                                                                                                                                                                                                                                                                                                                                                                                                                                                                                                                                                                                                                                                                                                                                                                                                                              </w:t>
      </w:r>
      <w:r>
        <w:tab/>
      </w:r>
      <w:r w:rsidRPr="00C53E0E">
        <w:rPr>
          <w:b/>
          <w:sz w:val="36"/>
          <w:szCs w:val="36"/>
        </w:rPr>
        <w:t>MESTSKÁ ČASŤ</w:t>
      </w:r>
    </w:p>
    <w:p w14:paraId="4CF30CCC" w14:textId="77777777" w:rsidR="00FA4C69" w:rsidRPr="00947763" w:rsidRDefault="00FA4C69" w:rsidP="00FA4C69">
      <w:pPr>
        <w:pStyle w:val="Zkladntext"/>
        <w:ind w:firstLine="708"/>
        <w:jc w:val="center"/>
        <w:rPr>
          <w:b/>
          <w:sz w:val="36"/>
          <w:szCs w:val="36"/>
        </w:rPr>
      </w:pPr>
      <w:r w:rsidRPr="00C53E0E">
        <w:rPr>
          <w:b/>
          <w:sz w:val="36"/>
          <w:szCs w:val="36"/>
        </w:rPr>
        <w:t>BRATISLAVA – PODUNAJSKÉ BISKUPICE</w:t>
      </w:r>
    </w:p>
    <w:p w14:paraId="233ED1D7" w14:textId="77777777" w:rsidR="00FA4C69" w:rsidRDefault="00FA4C69" w:rsidP="00FA4C69">
      <w:pPr>
        <w:pStyle w:val="Zkladntext"/>
        <w:ind w:firstLine="708"/>
        <w:jc w:val="center"/>
      </w:pPr>
      <w:r>
        <w:t>Trojičné námestie 11, 825 61 Bratislava</w:t>
      </w:r>
    </w:p>
    <w:p w14:paraId="3C04F5E1" w14:textId="77777777" w:rsidR="00FA4C69" w:rsidRDefault="00FA4C69" w:rsidP="00FA4C69">
      <w:pPr>
        <w:rPr>
          <w:rFonts w:ascii="Arial" w:hAnsi="Arial"/>
        </w:rPr>
      </w:pPr>
    </w:p>
    <w:p w14:paraId="25598B3C" w14:textId="77777777" w:rsidR="00FA4C69" w:rsidRDefault="00FA4C69" w:rsidP="00FA4C69">
      <w:pPr>
        <w:jc w:val="both"/>
        <w:rPr>
          <w:rFonts w:ascii="Arial" w:hAnsi="Arial"/>
        </w:rPr>
      </w:pPr>
    </w:p>
    <w:p w14:paraId="773F561C" w14:textId="77777777" w:rsidR="00FA4C69" w:rsidRDefault="00FA4C69" w:rsidP="00FA4C69">
      <w:pPr>
        <w:jc w:val="both"/>
        <w:rPr>
          <w:rFonts w:ascii="Arial" w:hAnsi="Arial"/>
        </w:rPr>
      </w:pPr>
    </w:p>
    <w:p w14:paraId="53D75DCB" w14:textId="77777777" w:rsidR="00FA4C69" w:rsidRPr="00431C82" w:rsidRDefault="00FA4C69" w:rsidP="00FA4C69"/>
    <w:p w14:paraId="083604B3" w14:textId="77777777" w:rsidR="00FA4C69" w:rsidRPr="00431C82" w:rsidRDefault="00FA4C69" w:rsidP="00FA4C69"/>
    <w:p w14:paraId="1B5EF33D" w14:textId="77777777" w:rsidR="00FA4C69" w:rsidRPr="00431C82" w:rsidRDefault="00FA4C69" w:rsidP="00FA4C69">
      <w:pPr>
        <w:rPr>
          <w:rFonts w:ascii="Arial" w:hAnsi="Arial"/>
          <w:sz w:val="22"/>
        </w:rPr>
      </w:pPr>
      <w:r w:rsidRPr="00431C82">
        <w:rPr>
          <w:rFonts w:ascii="Arial" w:hAnsi="Arial"/>
          <w:sz w:val="22"/>
        </w:rPr>
        <w:t>Materiál určený na rokovanie</w:t>
      </w:r>
      <w:r>
        <w:rPr>
          <w:rFonts w:ascii="Arial" w:hAnsi="Arial"/>
          <w:sz w:val="22"/>
        </w:rPr>
        <w:t>:</w:t>
      </w:r>
      <w:r w:rsidRPr="00431C82">
        <w:rPr>
          <w:rFonts w:ascii="Arial" w:hAnsi="Arial"/>
          <w:sz w:val="22"/>
        </w:rPr>
        <w:t xml:space="preserve"> </w:t>
      </w:r>
    </w:p>
    <w:p w14:paraId="24A62515" w14:textId="77777777" w:rsidR="00FA4C69" w:rsidRDefault="00FA4C69" w:rsidP="00FA4C69">
      <w:pPr>
        <w:jc w:val="both"/>
        <w:rPr>
          <w:rFonts w:ascii="Arial" w:hAnsi="Arial" w:cs="Arial"/>
          <w:sz w:val="22"/>
          <w:szCs w:val="22"/>
        </w:rPr>
      </w:pPr>
      <w:r>
        <w:rPr>
          <w:rFonts w:ascii="Arial" w:hAnsi="Arial" w:cs="Arial"/>
          <w:sz w:val="22"/>
          <w:szCs w:val="22"/>
        </w:rPr>
        <w:t xml:space="preserve">Miestnej rady dňa </w:t>
      </w:r>
      <w:r w:rsidR="002E73DB">
        <w:rPr>
          <w:rFonts w:ascii="Arial" w:hAnsi="Arial" w:cs="Arial"/>
          <w:sz w:val="22"/>
          <w:szCs w:val="22"/>
        </w:rPr>
        <w:t>:</w:t>
      </w:r>
      <w:r>
        <w:rPr>
          <w:rFonts w:ascii="Arial" w:hAnsi="Arial" w:cs="Arial"/>
          <w:sz w:val="22"/>
          <w:szCs w:val="22"/>
        </w:rPr>
        <w:t xml:space="preserve"> </w:t>
      </w:r>
      <w:r w:rsidR="002E73DB">
        <w:rPr>
          <w:rFonts w:ascii="Arial" w:hAnsi="Arial" w:cs="Arial"/>
          <w:sz w:val="22"/>
          <w:szCs w:val="22"/>
        </w:rPr>
        <w:tab/>
      </w:r>
      <w:r w:rsidR="002E73DB">
        <w:rPr>
          <w:rFonts w:ascii="Arial" w:hAnsi="Arial" w:cs="Arial"/>
          <w:sz w:val="22"/>
          <w:szCs w:val="22"/>
        </w:rPr>
        <w:tab/>
      </w:r>
      <w:r w:rsidR="002E73DB">
        <w:rPr>
          <w:rFonts w:ascii="Arial" w:hAnsi="Arial" w:cs="Arial"/>
          <w:sz w:val="22"/>
          <w:szCs w:val="22"/>
        </w:rPr>
        <w:tab/>
      </w:r>
      <w:r w:rsidR="00183A58">
        <w:rPr>
          <w:rFonts w:ascii="Arial" w:hAnsi="Arial" w:cs="Arial"/>
          <w:sz w:val="22"/>
          <w:szCs w:val="22"/>
        </w:rPr>
        <w:t>20.09.2021</w:t>
      </w:r>
    </w:p>
    <w:p w14:paraId="14E959C5" w14:textId="77777777" w:rsidR="00FA4C69" w:rsidRDefault="00FA4C69" w:rsidP="00FA4C69">
      <w:pPr>
        <w:jc w:val="both"/>
        <w:rPr>
          <w:rFonts w:ascii="Arial" w:hAnsi="Arial" w:cs="Arial"/>
          <w:sz w:val="22"/>
          <w:szCs w:val="22"/>
        </w:rPr>
      </w:pPr>
      <w:r>
        <w:rPr>
          <w:rFonts w:ascii="Arial" w:hAnsi="Arial" w:cs="Arial"/>
          <w:sz w:val="22"/>
          <w:szCs w:val="22"/>
        </w:rPr>
        <w:t xml:space="preserve">Miestneho zastupiteľstva dňa </w:t>
      </w:r>
      <w:r w:rsidR="002E73DB">
        <w:rPr>
          <w:rFonts w:ascii="Arial" w:hAnsi="Arial" w:cs="Arial"/>
          <w:sz w:val="22"/>
          <w:szCs w:val="22"/>
        </w:rPr>
        <w:t>:</w:t>
      </w:r>
      <w:r>
        <w:rPr>
          <w:rFonts w:ascii="Arial" w:hAnsi="Arial" w:cs="Arial"/>
          <w:sz w:val="22"/>
          <w:szCs w:val="22"/>
        </w:rPr>
        <w:t xml:space="preserve"> </w:t>
      </w:r>
      <w:r w:rsidR="002E73DB">
        <w:rPr>
          <w:rFonts w:ascii="Arial" w:hAnsi="Arial" w:cs="Arial"/>
          <w:sz w:val="22"/>
          <w:szCs w:val="22"/>
        </w:rPr>
        <w:tab/>
      </w:r>
      <w:r w:rsidR="00183A58">
        <w:rPr>
          <w:rFonts w:ascii="Arial" w:hAnsi="Arial" w:cs="Arial"/>
          <w:sz w:val="22"/>
          <w:szCs w:val="22"/>
        </w:rPr>
        <w:t>28.09.2021</w:t>
      </w:r>
    </w:p>
    <w:p w14:paraId="57258473" w14:textId="77777777" w:rsidR="00FA4C69" w:rsidRPr="00431C82" w:rsidRDefault="00FA4C69" w:rsidP="00FA4C69">
      <w:pPr>
        <w:rPr>
          <w:rFonts w:ascii="Arial" w:hAnsi="Arial"/>
          <w:sz w:val="22"/>
        </w:rPr>
      </w:pPr>
    </w:p>
    <w:p w14:paraId="55571E38" w14:textId="77777777" w:rsidR="00FA4C69" w:rsidRPr="00431C82" w:rsidRDefault="00FA4C69" w:rsidP="00FA4C69">
      <w:pPr>
        <w:rPr>
          <w:rFonts w:ascii="Arial" w:hAnsi="Arial"/>
          <w:sz w:val="22"/>
        </w:rPr>
      </w:pPr>
    </w:p>
    <w:p w14:paraId="0A2F4082" w14:textId="77777777" w:rsidR="00FA4C69" w:rsidRPr="00431C82" w:rsidRDefault="00FA4C69" w:rsidP="00FA4C69">
      <w:pPr>
        <w:rPr>
          <w:rFonts w:ascii="Arial" w:hAnsi="Arial"/>
          <w:sz w:val="22"/>
        </w:rPr>
      </w:pPr>
    </w:p>
    <w:p w14:paraId="51CA7FDC" w14:textId="77777777" w:rsidR="00FA4C69" w:rsidRPr="00431C82" w:rsidRDefault="00FA4C69" w:rsidP="00FA4C69">
      <w:pPr>
        <w:rPr>
          <w:rFonts w:ascii="Arial" w:hAnsi="Arial"/>
          <w:sz w:val="22"/>
        </w:rPr>
      </w:pPr>
    </w:p>
    <w:p w14:paraId="60980372" w14:textId="77777777" w:rsidR="00FA4C69" w:rsidRPr="00431C82" w:rsidRDefault="00FA4C69" w:rsidP="00FA4C69">
      <w:pPr>
        <w:rPr>
          <w:rFonts w:ascii="Arial" w:hAnsi="Arial"/>
          <w:sz w:val="22"/>
        </w:rPr>
      </w:pPr>
    </w:p>
    <w:p w14:paraId="42C9152A" w14:textId="77777777" w:rsidR="00FA4C69" w:rsidRPr="00431C82" w:rsidRDefault="00FA4C69" w:rsidP="00FA4C69">
      <w:pPr>
        <w:rPr>
          <w:rFonts w:ascii="Arial" w:hAnsi="Arial"/>
        </w:rPr>
      </w:pPr>
    </w:p>
    <w:p w14:paraId="373DC38D" w14:textId="77777777" w:rsidR="00FA4C69" w:rsidRPr="00431C82" w:rsidRDefault="00FA4C69" w:rsidP="00FA4C69">
      <w:pPr>
        <w:rPr>
          <w:rFonts w:ascii="Arial" w:hAnsi="Arial"/>
        </w:rPr>
      </w:pPr>
    </w:p>
    <w:p w14:paraId="5783C326" w14:textId="77777777" w:rsidR="00FA4C69" w:rsidRPr="00431C82" w:rsidRDefault="00FA4C69" w:rsidP="00FA4C69">
      <w:pPr>
        <w:rPr>
          <w:rFonts w:ascii="Arial" w:hAnsi="Arial"/>
        </w:rPr>
      </w:pPr>
    </w:p>
    <w:p w14:paraId="74E27B38" w14:textId="77777777" w:rsidR="00FA4C69" w:rsidRPr="00BD10C6" w:rsidRDefault="00FA4C69" w:rsidP="00FA4C69">
      <w:pPr>
        <w:rPr>
          <w:rFonts w:ascii="Arial" w:hAnsi="Arial"/>
          <w:b/>
          <w:bCs/>
        </w:rPr>
      </w:pPr>
    </w:p>
    <w:p w14:paraId="2F9DFB32" w14:textId="77777777" w:rsidR="00183A58" w:rsidRPr="00183A58" w:rsidRDefault="00183A58" w:rsidP="00183A58">
      <w:pPr>
        <w:jc w:val="center"/>
        <w:rPr>
          <w:rFonts w:ascii="Arial" w:hAnsi="Arial" w:cs="Arial"/>
          <w:b/>
          <w:sz w:val="22"/>
          <w:szCs w:val="22"/>
        </w:rPr>
      </w:pPr>
      <w:r w:rsidRPr="00183A58">
        <w:rPr>
          <w:rFonts w:ascii="Arial" w:hAnsi="Arial" w:cs="Arial"/>
          <w:b/>
          <w:sz w:val="22"/>
          <w:szCs w:val="22"/>
        </w:rPr>
        <w:t>Návrh na III. zmenu rozpočtu</w:t>
      </w:r>
      <w:r w:rsidRPr="00183A58">
        <w:rPr>
          <w:b/>
          <w:sz w:val="22"/>
          <w:szCs w:val="22"/>
        </w:rPr>
        <w:t> </w:t>
      </w:r>
      <w:r w:rsidRPr="00183A58">
        <w:rPr>
          <w:rFonts w:ascii="Arial" w:hAnsi="Arial" w:cs="Arial"/>
          <w:b/>
          <w:sz w:val="22"/>
          <w:szCs w:val="22"/>
        </w:rPr>
        <w:t>mestskej časti Bratislava – Podunajské Biskupice</w:t>
      </w:r>
    </w:p>
    <w:p w14:paraId="5ABA7DB6" w14:textId="77777777" w:rsidR="00183A58" w:rsidRPr="00183A58" w:rsidRDefault="00183A58" w:rsidP="00183A58">
      <w:pPr>
        <w:jc w:val="center"/>
        <w:rPr>
          <w:rFonts w:ascii="Arial" w:hAnsi="Arial" w:cs="Arial"/>
          <w:b/>
          <w:sz w:val="22"/>
          <w:szCs w:val="22"/>
        </w:rPr>
      </w:pPr>
    </w:p>
    <w:p w14:paraId="3F759312" w14:textId="77777777" w:rsidR="00183A58" w:rsidRPr="00183A58" w:rsidRDefault="00183A58" w:rsidP="00183A58">
      <w:pPr>
        <w:jc w:val="center"/>
        <w:rPr>
          <w:rFonts w:ascii="Arial" w:hAnsi="Arial" w:cs="Arial"/>
          <w:b/>
          <w:sz w:val="22"/>
          <w:szCs w:val="22"/>
        </w:rPr>
      </w:pPr>
      <w:r w:rsidRPr="00183A58">
        <w:rPr>
          <w:rFonts w:ascii="Arial" w:hAnsi="Arial" w:cs="Arial"/>
          <w:b/>
          <w:sz w:val="22"/>
          <w:szCs w:val="22"/>
        </w:rPr>
        <w:t>- Rozpočtové opatrenie 1: Navýšenie kapitálových výdavkov na zabezpečenie IT infraštruktúry Miestneho úradu Bratislava-Podunajské Biskupice.</w:t>
      </w:r>
    </w:p>
    <w:p w14:paraId="039EB234" w14:textId="77777777" w:rsidR="00E84350" w:rsidRDefault="00E84350" w:rsidP="00E84350">
      <w:pPr>
        <w:jc w:val="both"/>
        <w:rPr>
          <w:rFonts w:ascii="Arial" w:hAnsi="Arial" w:cs="Arial"/>
          <w:b/>
          <w:sz w:val="22"/>
          <w:szCs w:val="22"/>
        </w:rPr>
      </w:pPr>
      <w:r>
        <w:rPr>
          <w:rFonts w:ascii="Arial" w:hAnsi="Arial" w:cs="Arial"/>
          <w:b/>
          <w:sz w:val="22"/>
          <w:szCs w:val="22"/>
        </w:rPr>
        <w:t xml:space="preserve">      </w:t>
      </w:r>
      <w:r w:rsidR="00183A58" w:rsidRPr="00E84350">
        <w:rPr>
          <w:rFonts w:ascii="Arial" w:hAnsi="Arial" w:cs="Arial"/>
          <w:b/>
          <w:sz w:val="22"/>
          <w:szCs w:val="22"/>
        </w:rPr>
        <w:t xml:space="preserve">- Rozpočtové opatrenie 2: Navýšenie kapitálových výdavkov na obstaranie </w:t>
      </w:r>
      <w:r w:rsidRPr="00E84350">
        <w:rPr>
          <w:rFonts w:ascii="Arial" w:hAnsi="Arial" w:cs="Arial"/>
          <w:b/>
          <w:sz w:val="22"/>
          <w:szCs w:val="22"/>
        </w:rPr>
        <w:t xml:space="preserve">pasportu </w:t>
      </w:r>
      <w:r>
        <w:rPr>
          <w:rFonts w:ascii="Arial" w:hAnsi="Arial" w:cs="Arial"/>
          <w:b/>
          <w:sz w:val="22"/>
          <w:szCs w:val="22"/>
        </w:rPr>
        <w:t xml:space="preserve"> </w:t>
      </w:r>
    </w:p>
    <w:p w14:paraId="1C97FF38" w14:textId="681F7972" w:rsidR="00183A58" w:rsidRPr="00183A58" w:rsidRDefault="00E84350" w:rsidP="00E84350">
      <w:pPr>
        <w:jc w:val="both"/>
        <w:rPr>
          <w:rFonts w:ascii="Arial" w:hAnsi="Arial" w:cs="Arial"/>
          <w:b/>
          <w:sz w:val="22"/>
          <w:szCs w:val="22"/>
        </w:rPr>
      </w:pPr>
      <w:r>
        <w:rPr>
          <w:rFonts w:ascii="Arial" w:hAnsi="Arial" w:cs="Arial"/>
          <w:b/>
          <w:sz w:val="22"/>
          <w:szCs w:val="22"/>
        </w:rPr>
        <w:t xml:space="preserve">                  </w:t>
      </w:r>
      <w:r w:rsidRPr="00E84350">
        <w:rPr>
          <w:rFonts w:ascii="Arial" w:hAnsi="Arial" w:cs="Arial"/>
          <w:b/>
          <w:sz w:val="22"/>
          <w:szCs w:val="22"/>
        </w:rPr>
        <w:t xml:space="preserve">miestnych komunikácií dopravného značenia, parkovísk </w:t>
      </w:r>
      <w:r w:rsidR="00183A58" w:rsidRPr="00183A58">
        <w:rPr>
          <w:rFonts w:ascii="Arial" w:hAnsi="Arial" w:cs="Arial"/>
          <w:b/>
          <w:sz w:val="22"/>
          <w:szCs w:val="22"/>
        </w:rPr>
        <w:t>a ich digitalizácia</w:t>
      </w:r>
    </w:p>
    <w:p w14:paraId="0E26CD7B" w14:textId="77777777" w:rsidR="00183A58" w:rsidRPr="00183A58" w:rsidRDefault="00183A58" w:rsidP="00183A58">
      <w:pPr>
        <w:spacing w:after="120"/>
        <w:jc w:val="center"/>
        <w:rPr>
          <w:rFonts w:ascii="Arial" w:hAnsi="Arial" w:cs="Arial"/>
          <w:b/>
          <w:sz w:val="22"/>
          <w:szCs w:val="22"/>
        </w:rPr>
      </w:pPr>
      <w:r w:rsidRPr="00183A58">
        <w:rPr>
          <w:rFonts w:ascii="Arial" w:hAnsi="Arial" w:cs="Arial"/>
          <w:b/>
          <w:sz w:val="22"/>
          <w:szCs w:val="22"/>
        </w:rPr>
        <w:t>- Rozpočtové opatrenie 3: Navýšenie kapitálových výdavkov Dodávka a montáž snehových zábran ZŠ Vetvárska</w:t>
      </w:r>
    </w:p>
    <w:p w14:paraId="01A59BC3" w14:textId="77777777" w:rsidR="00FA4C69" w:rsidRPr="00D76F62" w:rsidRDefault="00FA4C69" w:rsidP="00FA4C69">
      <w:pPr>
        <w:jc w:val="center"/>
        <w:rPr>
          <w:rFonts w:ascii="Arial" w:hAnsi="Arial" w:cs="Arial"/>
          <w:b/>
          <w:bCs/>
          <w:sz w:val="22"/>
          <w:szCs w:val="22"/>
        </w:rPr>
      </w:pPr>
      <w:r>
        <w:rPr>
          <w:rFonts w:ascii="Arial" w:hAnsi="Arial" w:cs="Arial"/>
          <w:b/>
          <w:bCs/>
          <w:sz w:val="22"/>
          <w:szCs w:val="22"/>
        </w:rPr>
        <w:t xml:space="preserve"> </w:t>
      </w:r>
    </w:p>
    <w:p w14:paraId="49554488" w14:textId="77777777" w:rsidR="00FA4C69" w:rsidRPr="00D76F62" w:rsidRDefault="00FA4C69" w:rsidP="00FA4C69">
      <w:pPr>
        <w:jc w:val="center"/>
        <w:rPr>
          <w:rFonts w:ascii="Arial" w:hAnsi="Arial" w:cs="Arial"/>
          <w:b/>
          <w:bCs/>
          <w:sz w:val="22"/>
          <w:szCs w:val="22"/>
        </w:rPr>
      </w:pPr>
      <w:r w:rsidRPr="00D76F62">
        <w:rPr>
          <w:rFonts w:ascii="Arial" w:hAnsi="Arial" w:cs="Arial"/>
          <w:b/>
          <w:bCs/>
          <w:sz w:val="22"/>
          <w:szCs w:val="22"/>
        </w:rPr>
        <w:tab/>
      </w:r>
    </w:p>
    <w:p w14:paraId="6732F431" w14:textId="77777777" w:rsidR="00FA4C69" w:rsidRPr="00431C82" w:rsidRDefault="00FA4C69" w:rsidP="00FA4C69">
      <w:pPr>
        <w:jc w:val="both"/>
        <w:rPr>
          <w:rFonts w:ascii="Arial" w:hAnsi="Arial"/>
          <w:sz w:val="22"/>
        </w:rPr>
      </w:pPr>
    </w:p>
    <w:p w14:paraId="28CED87D" w14:textId="77777777" w:rsidR="00FA4C69" w:rsidRPr="00431C82" w:rsidRDefault="00FA4C69" w:rsidP="00FA4C69">
      <w:pPr>
        <w:jc w:val="both"/>
        <w:rPr>
          <w:rFonts w:ascii="Arial" w:hAnsi="Arial"/>
          <w:sz w:val="22"/>
        </w:rPr>
      </w:pPr>
    </w:p>
    <w:p w14:paraId="22540156" w14:textId="77777777" w:rsidR="00FA4C69" w:rsidRPr="00431C82" w:rsidRDefault="00FA4C69" w:rsidP="00FA4C69">
      <w:pPr>
        <w:pStyle w:val="Zkladntext"/>
        <w:jc w:val="both"/>
      </w:pPr>
      <w:r w:rsidRPr="00431C82">
        <w:t xml:space="preserve">Predkladá: </w:t>
      </w:r>
      <w:r w:rsidRPr="00431C82">
        <w:tab/>
      </w:r>
      <w:r w:rsidRPr="00431C82">
        <w:tab/>
      </w:r>
      <w:r w:rsidRPr="00431C82">
        <w:tab/>
      </w:r>
      <w:r w:rsidRPr="00431C82">
        <w:tab/>
      </w:r>
      <w:r w:rsidRPr="00431C82">
        <w:tab/>
      </w:r>
      <w:r w:rsidRPr="00431C82">
        <w:tab/>
      </w:r>
      <w:r w:rsidRPr="00431C82">
        <w:tab/>
        <w:t>Materiál obsahuje:</w:t>
      </w:r>
    </w:p>
    <w:p w14:paraId="0BC4167D" w14:textId="77777777" w:rsidR="00FA4C69" w:rsidRDefault="00FA4C69" w:rsidP="00FA4C69">
      <w:pPr>
        <w:jc w:val="both"/>
        <w:rPr>
          <w:rFonts w:ascii="Arial" w:hAnsi="Arial" w:cs="Arial"/>
          <w:sz w:val="22"/>
          <w:szCs w:val="22"/>
        </w:rPr>
      </w:pPr>
      <w:r>
        <w:rPr>
          <w:rFonts w:ascii="Arial" w:hAnsi="Arial" w:cs="Arial"/>
          <w:sz w:val="22"/>
          <w:szCs w:val="22"/>
        </w:rPr>
        <w:t>Mgr. Zoltán Pék</w:t>
      </w:r>
      <w:r w:rsidRPr="00431C82">
        <w:rPr>
          <w:rFonts w:ascii="Arial" w:hAnsi="Arial"/>
          <w:sz w:val="22"/>
        </w:rPr>
        <w:tab/>
      </w:r>
      <w:r w:rsidRPr="00431C82">
        <w:rPr>
          <w:rFonts w:ascii="Arial" w:hAnsi="Arial"/>
          <w:sz w:val="22"/>
        </w:rPr>
        <w:tab/>
      </w:r>
      <w:r w:rsidRPr="00431C82">
        <w:rPr>
          <w:rFonts w:ascii="Arial" w:hAnsi="Arial"/>
          <w:sz w:val="22"/>
        </w:rPr>
        <w:tab/>
      </w:r>
      <w:r w:rsidRPr="00431C82">
        <w:rPr>
          <w:rFonts w:ascii="Arial" w:hAnsi="Arial"/>
          <w:sz w:val="22"/>
        </w:rPr>
        <w:tab/>
      </w:r>
      <w:r>
        <w:rPr>
          <w:rFonts w:ascii="Arial" w:hAnsi="Arial"/>
          <w:sz w:val="22"/>
        </w:rPr>
        <w:t xml:space="preserve">                      </w:t>
      </w:r>
      <w:r w:rsidR="00EC3BD4">
        <w:rPr>
          <w:rFonts w:ascii="Arial" w:hAnsi="Arial"/>
          <w:sz w:val="22"/>
        </w:rPr>
        <w:tab/>
      </w:r>
      <w:r>
        <w:rPr>
          <w:rFonts w:ascii="Arial" w:hAnsi="Arial" w:cs="Arial"/>
          <w:sz w:val="22"/>
          <w:szCs w:val="22"/>
        </w:rPr>
        <w:t xml:space="preserve">- </w:t>
      </w:r>
      <w:r w:rsidR="00EC3BD4">
        <w:rPr>
          <w:rFonts w:ascii="Arial" w:hAnsi="Arial" w:cs="Arial"/>
          <w:sz w:val="22"/>
          <w:szCs w:val="22"/>
        </w:rPr>
        <w:t>vyjadrenie miestnej rady</w:t>
      </w:r>
      <w:r w:rsidR="00CB1F1A">
        <w:rPr>
          <w:rFonts w:ascii="Arial" w:hAnsi="Arial" w:cs="Arial"/>
          <w:sz w:val="22"/>
          <w:szCs w:val="22"/>
        </w:rPr>
        <w:t xml:space="preserve"> a komisií </w:t>
      </w:r>
    </w:p>
    <w:p w14:paraId="7C9F6F81" w14:textId="77777777" w:rsidR="00FA4C69" w:rsidRDefault="00FA4C69" w:rsidP="00FA4C69">
      <w:pPr>
        <w:jc w:val="both"/>
        <w:rPr>
          <w:rFonts w:ascii="Arial" w:hAnsi="Arial" w:cs="Arial"/>
          <w:sz w:val="22"/>
          <w:szCs w:val="22"/>
        </w:rPr>
      </w:pPr>
      <w:r>
        <w:rPr>
          <w:rFonts w:ascii="Arial" w:hAnsi="Arial" w:cs="Arial"/>
          <w:sz w:val="22"/>
          <w:szCs w:val="22"/>
        </w:rPr>
        <w:t xml:space="preserve">starosta                                                                               </w:t>
      </w:r>
      <w:r w:rsidR="00EC3BD4">
        <w:rPr>
          <w:rFonts w:ascii="Arial" w:hAnsi="Arial" w:cs="Arial"/>
          <w:sz w:val="22"/>
          <w:szCs w:val="22"/>
        </w:rPr>
        <w:tab/>
      </w:r>
      <w:r>
        <w:rPr>
          <w:rFonts w:ascii="Arial" w:hAnsi="Arial" w:cs="Arial"/>
          <w:sz w:val="22"/>
          <w:szCs w:val="22"/>
        </w:rPr>
        <w:t xml:space="preserve">- </w:t>
      </w:r>
      <w:r w:rsidR="00EC3BD4">
        <w:rPr>
          <w:rFonts w:ascii="Arial" w:hAnsi="Arial" w:cs="Arial"/>
          <w:sz w:val="22"/>
          <w:szCs w:val="22"/>
        </w:rPr>
        <w:t>návrh uznesenia</w:t>
      </w:r>
    </w:p>
    <w:p w14:paraId="0B85AD9D" w14:textId="77777777" w:rsidR="00EC3BD4" w:rsidRDefault="00EC3BD4" w:rsidP="00FA4C6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dôvodová správa</w:t>
      </w:r>
    </w:p>
    <w:p w14:paraId="22621C5B" w14:textId="77777777" w:rsidR="00FA4C69" w:rsidRPr="00256307" w:rsidRDefault="00FA4C69" w:rsidP="00FA4C69">
      <w:pPr>
        <w:jc w:val="both"/>
        <w:rPr>
          <w:rFonts w:ascii="Arial" w:hAnsi="Arial" w:cs="Arial"/>
          <w:sz w:val="22"/>
          <w:szCs w:val="22"/>
        </w:rPr>
      </w:pPr>
      <w:r w:rsidRPr="001D54BB">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8E68B01" w14:textId="77777777" w:rsidR="00FA4C69" w:rsidRPr="00431C82" w:rsidRDefault="00FA4C69" w:rsidP="00FA4C69">
      <w:pPr>
        <w:rPr>
          <w:rFonts w:ascii="Arial" w:hAnsi="Arial"/>
          <w:sz w:val="22"/>
        </w:rPr>
      </w:pPr>
      <w:r w:rsidRPr="00431C82">
        <w:rPr>
          <w:rFonts w:ascii="Arial" w:hAnsi="Arial"/>
          <w:sz w:val="22"/>
        </w:rPr>
        <w:t>Zodpovedn</w:t>
      </w:r>
      <w:r>
        <w:rPr>
          <w:rFonts w:ascii="Arial" w:hAnsi="Arial"/>
          <w:sz w:val="22"/>
        </w:rPr>
        <w:t>á</w:t>
      </w:r>
      <w:r w:rsidRPr="00431C82">
        <w:rPr>
          <w:rFonts w:ascii="Arial" w:hAnsi="Arial"/>
          <w:sz w:val="22"/>
        </w:rPr>
        <w:t>:</w:t>
      </w:r>
    </w:p>
    <w:p w14:paraId="2F6F64D4" w14:textId="77777777" w:rsidR="00FA4C69" w:rsidRPr="00431C82" w:rsidRDefault="00FA4C69" w:rsidP="00FA4C69">
      <w:pPr>
        <w:rPr>
          <w:rFonts w:ascii="Arial" w:hAnsi="Arial"/>
          <w:sz w:val="22"/>
        </w:rPr>
      </w:pPr>
      <w:r w:rsidRPr="00431C82">
        <w:rPr>
          <w:rFonts w:ascii="Arial" w:hAnsi="Arial"/>
          <w:sz w:val="22"/>
        </w:rPr>
        <w:t xml:space="preserve">Ing. </w:t>
      </w:r>
      <w:r>
        <w:rPr>
          <w:rFonts w:ascii="Arial" w:hAnsi="Arial"/>
          <w:sz w:val="22"/>
        </w:rPr>
        <w:t>Mariana Páleníkova</w:t>
      </w:r>
    </w:p>
    <w:p w14:paraId="5F7BED15" w14:textId="77777777" w:rsidR="00FA4C69" w:rsidRPr="00431C82" w:rsidRDefault="00FA4C69" w:rsidP="00FA4C69">
      <w:pPr>
        <w:rPr>
          <w:rFonts w:ascii="Arial" w:hAnsi="Arial"/>
          <w:sz w:val="22"/>
        </w:rPr>
      </w:pPr>
      <w:r>
        <w:rPr>
          <w:rFonts w:ascii="Arial" w:hAnsi="Arial"/>
          <w:sz w:val="22"/>
        </w:rPr>
        <w:t>prednostka</w:t>
      </w:r>
    </w:p>
    <w:p w14:paraId="30433731" w14:textId="77777777" w:rsidR="00FA4C69" w:rsidRPr="00431C82" w:rsidRDefault="00FA4C69" w:rsidP="00FA4C69">
      <w:pPr>
        <w:rPr>
          <w:rFonts w:ascii="Arial" w:hAnsi="Arial"/>
          <w:sz w:val="22"/>
        </w:rPr>
      </w:pPr>
    </w:p>
    <w:p w14:paraId="1DA9103F" w14:textId="77777777" w:rsidR="00FA4C69" w:rsidRDefault="00FA4C69" w:rsidP="00FA4C69">
      <w:pPr>
        <w:rPr>
          <w:rFonts w:ascii="Arial" w:hAnsi="Arial"/>
          <w:sz w:val="22"/>
        </w:rPr>
      </w:pPr>
      <w:r w:rsidRPr="00431C82">
        <w:rPr>
          <w:rFonts w:ascii="Arial" w:hAnsi="Arial"/>
          <w:sz w:val="22"/>
        </w:rPr>
        <w:t>Spracoval:</w:t>
      </w:r>
    </w:p>
    <w:p w14:paraId="79E0F243" w14:textId="77777777" w:rsidR="00FA4C69" w:rsidRPr="00183A58" w:rsidRDefault="00183A58" w:rsidP="00FA4C69">
      <w:pPr>
        <w:rPr>
          <w:rFonts w:ascii="Arial" w:hAnsi="Arial"/>
          <w:iCs/>
          <w:sz w:val="22"/>
        </w:rPr>
      </w:pPr>
      <w:r w:rsidRPr="00183A58">
        <w:rPr>
          <w:rFonts w:ascii="Arial" w:hAnsi="Arial"/>
          <w:iCs/>
          <w:sz w:val="22"/>
        </w:rPr>
        <w:t>Ing. Marta Szoboszlaiová</w:t>
      </w:r>
    </w:p>
    <w:p w14:paraId="45BAE914" w14:textId="77777777" w:rsidR="00FA4C69" w:rsidRPr="00183A58" w:rsidRDefault="00183A58" w:rsidP="00FA4C69">
      <w:pPr>
        <w:rPr>
          <w:rFonts w:ascii="Arial" w:hAnsi="Arial"/>
          <w:iCs/>
          <w:sz w:val="22"/>
        </w:rPr>
      </w:pPr>
      <w:r>
        <w:rPr>
          <w:rFonts w:ascii="Arial" w:hAnsi="Arial"/>
          <w:iCs/>
          <w:sz w:val="22"/>
        </w:rPr>
        <w:t>v</w:t>
      </w:r>
      <w:r w:rsidRPr="00183A58">
        <w:rPr>
          <w:rFonts w:ascii="Arial" w:hAnsi="Arial"/>
          <w:iCs/>
          <w:sz w:val="22"/>
        </w:rPr>
        <w:t>edúca oddelenia ekonomického</w:t>
      </w:r>
    </w:p>
    <w:p w14:paraId="2E8C7E1B" w14:textId="77777777" w:rsidR="00183A58" w:rsidRDefault="00183A58" w:rsidP="00FA4C69">
      <w:pPr>
        <w:rPr>
          <w:rFonts w:ascii="Arial" w:hAnsi="Arial"/>
          <w:iCs/>
          <w:sz w:val="22"/>
        </w:rPr>
      </w:pPr>
      <w:r w:rsidRPr="00183A58">
        <w:rPr>
          <w:rFonts w:ascii="Arial" w:hAnsi="Arial"/>
          <w:iCs/>
          <w:sz w:val="22"/>
        </w:rPr>
        <w:t>a správy majetku</w:t>
      </w:r>
    </w:p>
    <w:p w14:paraId="5ECEA37B" w14:textId="77777777" w:rsidR="00256307" w:rsidRDefault="00256307" w:rsidP="00FA4C69">
      <w:pPr>
        <w:rPr>
          <w:rFonts w:ascii="Arial" w:hAnsi="Arial"/>
          <w:iCs/>
          <w:sz w:val="22"/>
        </w:rPr>
      </w:pPr>
      <w:r>
        <w:rPr>
          <w:rFonts w:ascii="Arial" w:hAnsi="Arial"/>
          <w:iCs/>
          <w:sz w:val="22"/>
        </w:rPr>
        <w:t>Mgr. Ján Špaček</w:t>
      </w:r>
    </w:p>
    <w:p w14:paraId="38627F13" w14:textId="77777777" w:rsidR="00256307" w:rsidRDefault="00256307" w:rsidP="00FA4C69">
      <w:pPr>
        <w:rPr>
          <w:rFonts w:ascii="Arial" w:hAnsi="Arial"/>
          <w:iCs/>
          <w:sz w:val="22"/>
        </w:rPr>
      </w:pPr>
      <w:r>
        <w:rPr>
          <w:rFonts w:ascii="Arial" w:hAnsi="Arial"/>
          <w:iCs/>
          <w:sz w:val="22"/>
        </w:rPr>
        <w:t>vedúci oddelenia organizačného</w:t>
      </w:r>
    </w:p>
    <w:p w14:paraId="35B1CA21" w14:textId="77777777" w:rsidR="00256307" w:rsidRDefault="00256307" w:rsidP="00FA4C69">
      <w:pPr>
        <w:rPr>
          <w:rFonts w:ascii="Arial" w:hAnsi="Arial"/>
          <w:iCs/>
          <w:sz w:val="22"/>
        </w:rPr>
      </w:pPr>
      <w:r>
        <w:rPr>
          <w:rFonts w:ascii="Arial" w:hAnsi="Arial"/>
          <w:iCs/>
          <w:sz w:val="22"/>
        </w:rPr>
        <w:t>Mgr. Roman Zaťko</w:t>
      </w:r>
    </w:p>
    <w:p w14:paraId="00A41FBF" w14:textId="77777777" w:rsidR="00256307" w:rsidRDefault="00256307" w:rsidP="00FA4C69">
      <w:pPr>
        <w:rPr>
          <w:rFonts w:ascii="Arial" w:hAnsi="Arial"/>
          <w:iCs/>
          <w:sz w:val="22"/>
        </w:rPr>
      </w:pPr>
      <w:r>
        <w:rPr>
          <w:rFonts w:ascii="Arial" w:hAnsi="Arial"/>
          <w:iCs/>
          <w:sz w:val="22"/>
        </w:rPr>
        <w:t>oddelenie strategického rozvoja</w:t>
      </w:r>
    </w:p>
    <w:p w14:paraId="33628800" w14:textId="77777777" w:rsidR="00256307" w:rsidRDefault="00256307" w:rsidP="00FA4C69">
      <w:pPr>
        <w:rPr>
          <w:rFonts w:ascii="Arial" w:hAnsi="Arial"/>
          <w:iCs/>
          <w:sz w:val="22"/>
        </w:rPr>
      </w:pPr>
      <w:r>
        <w:rPr>
          <w:rFonts w:ascii="Arial" w:hAnsi="Arial"/>
          <w:iCs/>
          <w:sz w:val="22"/>
        </w:rPr>
        <w:t>investičné a VO</w:t>
      </w:r>
    </w:p>
    <w:p w14:paraId="660848E2" w14:textId="77777777" w:rsidR="00256307" w:rsidRPr="00183A58" w:rsidRDefault="00256307" w:rsidP="00FA4C69">
      <w:pPr>
        <w:rPr>
          <w:rFonts w:ascii="Arial" w:hAnsi="Arial"/>
          <w:iCs/>
          <w:sz w:val="22"/>
        </w:rPr>
      </w:pPr>
    </w:p>
    <w:p w14:paraId="66E0E61F" w14:textId="77777777" w:rsidR="00FA4C69" w:rsidRDefault="00EC3BD4" w:rsidP="00FA4C69">
      <w:pPr>
        <w:jc w:val="center"/>
        <w:rPr>
          <w:rFonts w:ascii="Arial" w:hAnsi="Arial" w:cs="Arial"/>
          <w:b/>
          <w:sz w:val="22"/>
          <w:szCs w:val="22"/>
        </w:rPr>
      </w:pPr>
      <w:r>
        <w:rPr>
          <w:rFonts w:ascii="Arial" w:hAnsi="Arial" w:cs="Arial"/>
          <w:b/>
          <w:sz w:val="22"/>
          <w:szCs w:val="22"/>
        </w:rPr>
        <w:lastRenderedPageBreak/>
        <w:t>Vyjadrenie miestnej rady</w:t>
      </w:r>
      <w:r w:rsidR="00CB1F1A">
        <w:rPr>
          <w:rFonts w:ascii="Arial" w:hAnsi="Arial" w:cs="Arial"/>
          <w:b/>
          <w:sz w:val="22"/>
          <w:szCs w:val="22"/>
        </w:rPr>
        <w:t xml:space="preserve"> ( zasadnutie dňa </w:t>
      </w:r>
      <w:r w:rsidR="00183A58">
        <w:rPr>
          <w:rFonts w:ascii="Arial" w:hAnsi="Arial" w:cs="Arial"/>
          <w:b/>
          <w:sz w:val="22"/>
          <w:szCs w:val="22"/>
        </w:rPr>
        <w:t>20.09.2021</w:t>
      </w:r>
      <w:r w:rsidR="00CB1F1A">
        <w:rPr>
          <w:rFonts w:ascii="Arial" w:hAnsi="Arial" w:cs="Arial"/>
          <w:b/>
          <w:sz w:val="22"/>
          <w:szCs w:val="22"/>
        </w:rPr>
        <w:t xml:space="preserve"> )</w:t>
      </w:r>
    </w:p>
    <w:p w14:paraId="5CE91784" w14:textId="77777777" w:rsidR="00FA4C69" w:rsidRDefault="00FA4C69" w:rsidP="00FA4C69">
      <w:pPr>
        <w:jc w:val="both"/>
        <w:rPr>
          <w:rFonts w:ascii="Arial" w:hAnsi="Arial" w:cs="Arial"/>
          <w:sz w:val="22"/>
          <w:szCs w:val="22"/>
        </w:rPr>
      </w:pPr>
    </w:p>
    <w:p w14:paraId="0B8EB586" w14:textId="77777777" w:rsidR="00605327" w:rsidRPr="00605327" w:rsidRDefault="00605327" w:rsidP="00605327">
      <w:pPr>
        <w:rPr>
          <w:rFonts w:ascii="Arial" w:hAnsi="Arial" w:cs="Arial"/>
          <w:b/>
          <w:sz w:val="22"/>
          <w:szCs w:val="22"/>
        </w:rPr>
      </w:pPr>
      <w:r w:rsidRPr="00605327">
        <w:rPr>
          <w:rFonts w:ascii="Arial" w:hAnsi="Arial" w:cs="Arial"/>
          <w:b/>
          <w:sz w:val="22"/>
          <w:szCs w:val="22"/>
        </w:rPr>
        <w:t>UZNESENIE č. 166/2021/MR</w:t>
      </w:r>
    </w:p>
    <w:p w14:paraId="7CD67E96" w14:textId="77777777" w:rsidR="00605327" w:rsidRPr="00605327" w:rsidRDefault="00605327" w:rsidP="00605327">
      <w:pPr>
        <w:rPr>
          <w:rFonts w:ascii="Arial" w:hAnsi="Arial" w:cs="Arial"/>
          <w:sz w:val="22"/>
          <w:szCs w:val="22"/>
        </w:rPr>
      </w:pPr>
      <w:r w:rsidRPr="00605327">
        <w:rPr>
          <w:rFonts w:ascii="Arial" w:hAnsi="Arial" w:cs="Arial"/>
          <w:sz w:val="22"/>
          <w:szCs w:val="22"/>
        </w:rPr>
        <w:t>Miestna rada neodporúča miestnemu zastupiteľstvu schváliť predložený návrh uznesenia.</w:t>
      </w:r>
    </w:p>
    <w:p w14:paraId="001D8718" w14:textId="77777777" w:rsidR="00EC3BD4" w:rsidRDefault="00EC3BD4"/>
    <w:p w14:paraId="07D4594C" w14:textId="77777777" w:rsidR="00EC3BD4" w:rsidRDefault="00EC3BD4"/>
    <w:p w14:paraId="78726737" w14:textId="77777777" w:rsidR="00EC3BD4" w:rsidRDefault="00EC3BD4"/>
    <w:p w14:paraId="57EE9072" w14:textId="77777777" w:rsidR="00EC3BD4" w:rsidRDefault="00EC3BD4"/>
    <w:p w14:paraId="7628507C" w14:textId="77777777" w:rsidR="00EC3BD4" w:rsidRDefault="00EC3BD4" w:rsidP="00EC3BD4">
      <w:pPr>
        <w:jc w:val="center"/>
        <w:rPr>
          <w:rFonts w:ascii="Arial" w:hAnsi="Arial" w:cs="Arial"/>
          <w:b/>
          <w:sz w:val="22"/>
          <w:szCs w:val="22"/>
        </w:rPr>
      </w:pPr>
      <w:r>
        <w:rPr>
          <w:rFonts w:ascii="Arial" w:hAnsi="Arial" w:cs="Arial"/>
          <w:b/>
          <w:sz w:val="22"/>
          <w:szCs w:val="22"/>
        </w:rPr>
        <w:t>Vyjadrenie komisií</w:t>
      </w:r>
    </w:p>
    <w:p w14:paraId="03A4948B" w14:textId="77777777" w:rsidR="00EC3BD4" w:rsidRDefault="00EC3BD4"/>
    <w:p w14:paraId="5BE356C3" w14:textId="77777777" w:rsidR="00EC3BD4" w:rsidRDefault="00EC3BD4"/>
    <w:p w14:paraId="3B844E82" w14:textId="77777777" w:rsidR="00CB1F1A" w:rsidRPr="00256307" w:rsidRDefault="00CB1F1A" w:rsidP="00CB1F1A">
      <w:pPr>
        <w:rPr>
          <w:rFonts w:ascii="Arial" w:hAnsi="Arial" w:cs="Arial"/>
          <w:sz w:val="22"/>
          <w:szCs w:val="22"/>
        </w:rPr>
      </w:pPr>
      <w:r w:rsidRPr="00256307">
        <w:rPr>
          <w:rFonts w:ascii="Arial" w:hAnsi="Arial" w:cs="Arial"/>
          <w:sz w:val="22"/>
          <w:szCs w:val="22"/>
        </w:rPr>
        <w:t>Komisia finančná, podnikateľských činností a obchodu :</w:t>
      </w:r>
    </w:p>
    <w:p w14:paraId="1CFF5801" w14:textId="77777777" w:rsidR="00605327" w:rsidRDefault="00605327" w:rsidP="00605327">
      <w:pPr>
        <w:jc w:val="both"/>
        <w:rPr>
          <w:rFonts w:ascii="Arial" w:hAnsi="Arial" w:cs="Arial"/>
          <w:b/>
          <w:bCs/>
          <w:sz w:val="22"/>
          <w:szCs w:val="22"/>
        </w:rPr>
      </w:pPr>
      <w:r>
        <w:rPr>
          <w:rFonts w:ascii="Arial" w:hAnsi="Arial" w:cs="Arial"/>
          <w:b/>
          <w:bCs/>
          <w:sz w:val="22"/>
          <w:szCs w:val="22"/>
        </w:rPr>
        <w:t xml:space="preserve">Rozpočtové opatrenie 2: </w:t>
      </w:r>
      <w:r w:rsidRPr="00605327">
        <w:rPr>
          <w:rFonts w:ascii="Arial" w:hAnsi="Arial" w:cs="Arial"/>
          <w:b/>
          <w:bCs/>
          <w:sz w:val="22"/>
          <w:szCs w:val="22"/>
        </w:rPr>
        <w:t>navrhuje prerokovať materiál na Miestnej rade a Miestnom zastupiteľstve mestskej časti Bratislava Podunajské Biskupice a zaradiť peňažné prostriedky do kapitálových výdavkov roka 2021 alebo rozpočtového roka 2022, podľa finančnej situácie.</w:t>
      </w:r>
    </w:p>
    <w:p w14:paraId="4C394076" w14:textId="167E44DD" w:rsidR="00605327" w:rsidRPr="00605327" w:rsidRDefault="00605327" w:rsidP="00605327">
      <w:pPr>
        <w:jc w:val="both"/>
        <w:rPr>
          <w:rFonts w:ascii="Arial" w:hAnsi="Arial" w:cs="Arial"/>
          <w:b/>
          <w:bCs/>
          <w:sz w:val="22"/>
          <w:szCs w:val="22"/>
        </w:rPr>
      </w:pPr>
      <w:r>
        <w:rPr>
          <w:rFonts w:ascii="Arial" w:hAnsi="Arial" w:cs="Arial"/>
          <w:b/>
          <w:bCs/>
          <w:sz w:val="22"/>
          <w:szCs w:val="22"/>
        </w:rPr>
        <w:t xml:space="preserve">Rozpočtové opatrenie 3: </w:t>
      </w:r>
      <w:r w:rsidRPr="00605327">
        <w:rPr>
          <w:rFonts w:ascii="Arial" w:hAnsi="Arial" w:cs="Arial"/>
          <w:b/>
          <w:bCs/>
          <w:sz w:val="22"/>
          <w:szCs w:val="22"/>
        </w:rPr>
        <w:t>odporúča  prerokovať materiál na Miestnej rade a Miestnom zastupiteľstve a prijať ho.</w:t>
      </w:r>
    </w:p>
    <w:p w14:paraId="59B1C7E5" w14:textId="77777777" w:rsidR="00605327" w:rsidRDefault="00605327" w:rsidP="00605327">
      <w:pPr>
        <w:jc w:val="both"/>
        <w:rPr>
          <w:rFonts w:ascii="Arial" w:hAnsi="Arial" w:cs="Arial"/>
          <w:sz w:val="22"/>
          <w:szCs w:val="22"/>
        </w:rPr>
      </w:pPr>
    </w:p>
    <w:p w14:paraId="1E5884D6" w14:textId="11C8F670" w:rsidR="00CB1F1A" w:rsidRDefault="00CB1F1A" w:rsidP="00CB1F1A">
      <w:pPr>
        <w:rPr>
          <w:rFonts w:ascii="Arial" w:hAnsi="Arial" w:cs="Arial"/>
          <w:sz w:val="22"/>
          <w:szCs w:val="22"/>
        </w:rPr>
      </w:pPr>
      <w:r w:rsidRPr="00256307">
        <w:rPr>
          <w:rFonts w:ascii="Arial" w:hAnsi="Arial" w:cs="Arial"/>
          <w:sz w:val="22"/>
          <w:szCs w:val="22"/>
        </w:rPr>
        <w:t>Komisia územného plánu, výstavby, životného prostredia, odpadov a cestného hospodárstva:</w:t>
      </w:r>
    </w:p>
    <w:p w14:paraId="44ECC6DB" w14:textId="77777777" w:rsidR="00256307" w:rsidRPr="00256307" w:rsidRDefault="00256307" w:rsidP="00CB1F1A">
      <w:pPr>
        <w:rPr>
          <w:rFonts w:ascii="Arial" w:hAnsi="Arial" w:cs="Arial"/>
          <w:sz w:val="22"/>
          <w:szCs w:val="22"/>
        </w:rPr>
      </w:pPr>
    </w:p>
    <w:p w14:paraId="4A95937A" w14:textId="45C31954" w:rsidR="00CB1F1A" w:rsidRDefault="00053597" w:rsidP="00CB1F1A">
      <w:r w:rsidRPr="00053597">
        <w:rPr>
          <w:rFonts w:ascii="Arial" w:hAnsi="Arial" w:cs="Arial"/>
          <w:b/>
          <w:bCs/>
          <w:sz w:val="22"/>
          <w:szCs w:val="22"/>
        </w:rPr>
        <w:t>Rozpočtové opatrenie 2: Členovia komisie s rozpočtovým opatrením nesúhlasia</w:t>
      </w:r>
      <w:r>
        <w:t xml:space="preserve"> </w:t>
      </w:r>
    </w:p>
    <w:p w14:paraId="674799F1" w14:textId="77777777" w:rsidR="00EC3BD4" w:rsidRDefault="00EC3BD4"/>
    <w:p w14:paraId="40E99E99" w14:textId="77777777" w:rsidR="00EC3BD4" w:rsidRDefault="00EC3BD4"/>
    <w:p w14:paraId="5D762A93" w14:textId="77777777" w:rsidR="00EC3BD4" w:rsidRDefault="00EC3BD4"/>
    <w:p w14:paraId="194C1ED3" w14:textId="77777777" w:rsidR="00EC3BD4" w:rsidRDefault="00EC3BD4"/>
    <w:p w14:paraId="18473AD4" w14:textId="77777777" w:rsidR="00EC3BD4" w:rsidRDefault="00EC3BD4"/>
    <w:p w14:paraId="7FA89700" w14:textId="77777777" w:rsidR="00EC3BD4" w:rsidRDefault="00EC3BD4"/>
    <w:p w14:paraId="01B5DFDA" w14:textId="77777777" w:rsidR="00EC3BD4" w:rsidRDefault="00EC3BD4"/>
    <w:p w14:paraId="3959639F" w14:textId="77777777" w:rsidR="00EC3BD4" w:rsidRDefault="00EC3BD4"/>
    <w:p w14:paraId="354F91CC" w14:textId="77777777" w:rsidR="00EC3BD4" w:rsidRDefault="00EC3BD4"/>
    <w:p w14:paraId="48991115" w14:textId="77777777" w:rsidR="00EC3BD4" w:rsidRDefault="00EC3BD4"/>
    <w:p w14:paraId="33312188" w14:textId="77777777" w:rsidR="00EC3BD4" w:rsidRDefault="00EC3BD4"/>
    <w:p w14:paraId="7EE01C25" w14:textId="77777777" w:rsidR="00EC3BD4" w:rsidRDefault="00EC3BD4"/>
    <w:p w14:paraId="76A4AB0E" w14:textId="77777777" w:rsidR="00EC3BD4" w:rsidRDefault="00EC3BD4"/>
    <w:p w14:paraId="26431C6B" w14:textId="77777777" w:rsidR="00EC3BD4" w:rsidRDefault="00EC3BD4"/>
    <w:p w14:paraId="77A5F0BC" w14:textId="77777777" w:rsidR="00EC3BD4" w:rsidRDefault="00EC3BD4"/>
    <w:p w14:paraId="34116185" w14:textId="77777777" w:rsidR="00EC3BD4" w:rsidRDefault="00EC3BD4"/>
    <w:p w14:paraId="19D703A9" w14:textId="77777777" w:rsidR="00EC3BD4" w:rsidRDefault="00EC3BD4"/>
    <w:p w14:paraId="68B423CA" w14:textId="77777777" w:rsidR="00EC3BD4" w:rsidRDefault="00EC3BD4"/>
    <w:p w14:paraId="61CDDB77" w14:textId="77777777" w:rsidR="00EC3BD4" w:rsidRDefault="00EC3BD4"/>
    <w:p w14:paraId="31695154" w14:textId="77777777" w:rsidR="00EC3BD4" w:rsidRDefault="00EC3BD4"/>
    <w:p w14:paraId="3061C8FA" w14:textId="77777777" w:rsidR="00EC3BD4" w:rsidRDefault="00EC3BD4"/>
    <w:p w14:paraId="3267E0E9" w14:textId="2CDFE2C1" w:rsidR="00EC3BD4" w:rsidRDefault="00EC3BD4"/>
    <w:p w14:paraId="240AD457" w14:textId="4E80D95B" w:rsidR="00053597" w:rsidRDefault="00053597"/>
    <w:p w14:paraId="401F6A66" w14:textId="1041ABF1" w:rsidR="00053597" w:rsidRDefault="00053597"/>
    <w:p w14:paraId="426DEAB5" w14:textId="0DD1F766" w:rsidR="00053597" w:rsidRDefault="00053597"/>
    <w:p w14:paraId="4B0CCF22" w14:textId="77777777" w:rsidR="00053597" w:rsidRDefault="00053597"/>
    <w:p w14:paraId="562C0610" w14:textId="77777777" w:rsidR="00EC3BD4" w:rsidRDefault="00EC3BD4"/>
    <w:p w14:paraId="71F16F39" w14:textId="77777777" w:rsidR="00EC3BD4" w:rsidRDefault="00EC3BD4"/>
    <w:p w14:paraId="5644CE9F" w14:textId="77777777" w:rsidR="00AD5BAF" w:rsidRDefault="00AD5BAF"/>
    <w:p w14:paraId="2096082B" w14:textId="77777777" w:rsidR="00CB1F1A" w:rsidRDefault="00CB1F1A" w:rsidP="00CB1F1A">
      <w:pPr>
        <w:jc w:val="center"/>
        <w:rPr>
          <w:rFonts w:ascii="Arial" w:hAnsi="Arial" w:cs="Arial"/>
          <w:b/>
          <w:sz w:val="22"/>
          <w:szCs w:val="22"/>
        </w:rPr>
      </w:pPr>
      <w:r>
        <w:rPr>
          <w:rFonts w:ascii="Arial" w:hAnsi="Arial" w:cs="Arial"/>
          <w:b/>
          <w:sz w:val="22"/>
          <w:szCs w:val="22"/>
        </w:rPr>
        <w:lastRenderedPageBreak/>
        <w:t>Návrh uznesenia</w:t>
      </w:r>
    </w:p>
    <w:p w14:paraId="36C42766" w14:textId="77777777" w:rsidR="00CB1F1A" w:rsidRPr="00A8663E" w:rsidRDefault="00CB1F1A" w:rsidP="00CB1F1A">
      <w:pPr>
        <w:spacing w:after="160" w:line="259" w:lineRule="auto"/>
        <w:contextualSpacing/>
        <w:rPr>
          <w:rFonts w:ascii="Arial" w:eastAsiaTheme="minorHAnsi" w:hAnsi="Arial" w:cs="Arial"/>
          <w:sz w:val="22"/>
          <w:szCs w:val="22"/>
          <w:lang w:eastAsia="en-US"/>
        </w:rPr>
      </w:pPr>
      <w:r w:rsidRPr="00A8663E">
        <w:rPr>
          <w:rFonts w:ascii="Arial" w:eastAsiaTheme="minorHAnsi" w:hAnsi="Arial" w:cs="Arial"/>
          <w:sz w:val="22"/>
          <w:szCs w:val="22"/>
          <w:lang w:eastAsia="en-US"/>
        </w:rPr>
        <w:t xml:space="preserve">( Na schválenie uznesenia je potrebný súhlas </w:t>
      </w:r>
      <w:r w:rsidR="00183A58">
        <w:rPr>
          <w:rFonts w:ascii="Arial" w:eastAsiaTheme="minorHAnsi" w:hAnsi="Arial" w:cs="Arial"/>
          <w:sz w:val="22"/>
          <w:szCs w:val="22"/>
          <w:lang w:eastAsia="en-US"/>
        </w:rPr>
        <w:t>nadpolovičnej väčšiny prítomných</w:t>
      </w:r>
      <w:r w:rsidRPr="00A8663E">
        <w:rPr>
          <w:rFonts w:ascii="Arial" w:eastAsiaTheme="minorHAnsi" w:hAnsi="Arial" w:cs="Arial"/>
          <w:sz w:val="22"/>
          <w:szCs w:val="22"/>
          <w:lang w:eastAsia="en-US"/>
        </w:rPr>
        <w:t xml:space="preserve"> poslancov )</w:t>
      </w:r>
    </w:p>
    <w:p w14:paraId="1E283C5D" w14:textId="77777777" w:rsidR="00CB1F1A" w:rsidRDefault="00CB1F1A" w:rsidP="00CB1F1A">
      <w:pPr>
        <w:jc w:val="center"/>
        <w:rPr>
          <w:rFonts w:ascii="Arial" w:hAnsi="Arial" w:cs="Arial"/>
          <w:b/>
          <w:sz w:val="22"/>
          <w:szCs w:val="22"/>
        </w:rPr>
      </w:pPr>
    </w:p>
    <w:p w14:paraId="08A07A21" w14:textId="77777777" w:rsidR="00CB1F1A" w:rsidRDefault="00CB1F1A" w:rsidP="00CB1F1A">
      <w:pPr>
        <w:jc w:val="center"/>
        <w:rPr>
          <w:rFonts w:ascii="Arial" w:hAnsi="Arial" w:cs="Arial"/>
          <w:b/>
          <w:sz w:val="22"/>
          <w:szCs w:val="22"/>
        </w:rPr>
      </w:pPr>
    </w:p>
    <w:p w14:paraId="0F79FC43" w14:textId="77777777" w:rsidR="00CB1F1A" w:rsidRDefault="00CB1F1A" w:rsidP="00CB1F1A">
      <w:pPr>
        <w:jc w:val="center"/>
        <w:rPr>
          <w:rFonts w:ascii="Arial" w:hAnsi="Arial" w:cs="Arial"/>
          <w:b/>
          <w:sz w:val="22"/>
          <w:szCs w:val="22"/>
        </w:rPr>
      </w:pPr>
    </w:p>
    <w:p w14:paraId="55CF59A0" w14:textId="77777777" w:rsidR="00CB1F1A" w:rsidRDefault="00CB1F1A" w:rsidP="00CB1F1A"/>
    <w:p w14:paraId="0EAE2D50" w14:textId="77777777" w:rsidR="00CB1F1A" w:rsidRPr="00CB1F1A" w:rsidRDefault="00CB1F1A" w:rsidP="00CB1F1A">
      <w:pPr>
        <w:spacing w:after="160" w:line="259" w:lineRule="auto"/>
        <w:rPr>
          <w:rFonts w:ascii="Arial" w:eastAsiaTheme="minorHAnsi" w:hAnsi="Arial" w:cs="Arial"/>
          <w:b/>
          <w:sz w:val="22"/>
          <w:szCs w:val="22"/>
          <w:lang w:eastAsia="en-US"/>
        </w:rPr>
      </w:pPr>
      <w:r w:rsidRPr="00CB1F1A">
        <w:rPr>
          <w:rFonts w:ascii="Arial" w:eastAsiaTheme="minorHAnsi" w:hAnsi="Arial" w:cs="Arial"/>
          <w:b/>
          <w:sz w:val="22"/>
          <w:szCs w:val="22"/>
          <w:lang w:eastAsia="en-US"/>
        </w:rPr>
        <w:t>Uznesenie č. : .........................</w:t>
      </w:r>
    </w:p>
    <w:p w14:paraId="4B0D15E7" w14:textId="77777777" w:rsidR="00CB1F1A" w:rsidRDefault="00CB1F1A" w:rsidP="00CB1F1A">
      <w:pPr>
        <w:spacing w:after="160" w:line="259" w:lineRule="auto"/>
        <w:rPr>
          <w:rFonts w:ascii="Arial" w:eastAsiaTheme="minorHAnsi" w:hAnsi="Arial" w:cs="Arial"/>
          <w:sz w:val="22"/>
          <w:szCs w:val="22"/>
          <w:lang w:eastAsia="en-US"/>
        </w:rPr>
      </w:pPr>
    </w:p>
    <w:p w14:paraId="500E0F77" w14:textId="77777777" w:rsidR="00CB1F1A" w:rsidRPr="00ED3A57" w:rsidRDefault="00CB1F1A" w:rsidP="00CB1F1A">
      <w:pPr>
        <w:spacing w:after="160" w:line="259" w:lineRule="auto"/>
        <w:rPr>
          <w:rFonts w:ascii="Arial" w:eastAsiaTheme="minorHAnsi" w:hAnsi="Arial" w:cs="Arial"/>
          <w:sz w:val="22"/>
          <w:szCs w:val="22"/>
          <w:lang w:eastAsia="en-US"/>
        </w:rPr>
      </w:pPr>
      <w:r w:rsidRPr="00ED3A57">
        <w:rPr>
          <w:rFonts w:ascii="Arial" w:eastAsiaTheme="minorHAnsi" w:hAnsi="Arial" w:cs="Arial"/>
          <w:sz w:val="22"/>
          <w:szCs w:val="22"/>
          <w:lang w:eastAsia="en-US"/>
        </w:rPr>
        <w:t>Miestne zastupiteľstvo Mestskej časti Bratislava – Podunajské Biskupice po prerokovaní</w:t>
      </w:r>
      <w:r>
        <w:rPr>
          <w:rFonts w:ascii="Arial" w:eastAsiaTheme="minorHAnsi" w:hAnsi="Arial" w:cs="Arial"/>
          <w:sz w:val="22"/>
          <w:szCs w:val="22"/>
          <w:lang w:eastAsia="en-US"/>
        </w:rPr>
        <w:t>:</w:t>
      </w:r>
    </w:p>
    <w:p w14:paraId="46742C2F" w14:textId="77777777" w:rsidR="00CB1F1A" w:rsidRDefault="00183A58" w:rsidP="00EC3BD4">
      <w:pPr>
        <w:jc w:val="center"/>
        <w:rPr>
          <w:rFonts w:ascii="Arial" w:hAnsi="Arial" w:cs="Arial"/>
          <w:b/>
          <w:sz w:val="22"/>
          <w:szCs w:val="22"/>
        </w:rPr>
      </w:pPr>
      <w:r>
        <w:rPr>
          <w:rFonts w:ascii="Arial" w:hAnsi="Arial" w:cs="Arial"/>
          <w:b/>
          <w:sz w:val="22"/>
          <w:szCs w:val="22"/>
        </w:rPr>
        <w:t>s c h v a ľ u j e</w:t>
      </w:r>
    </w:p>
    <w:p w14:paraId="71CFECC0" w14:textId="77777777" w:rsidR="00EC3BD4" w:rsidRDefault="00EC3BD4"/>
    <w:p w14:paraId="50BA6E3F" w14:textId="70F72C5F" w:rsidR="00EC3BD4" w:rsidRPr="00183A58" w:rsidRDefault="00183A58" w:rsidP="00BA4703">
      <w:pPr>
        <w:pStyle w:val="Odsekzoznamu"/>
        <w:numPr>
          <w:ilvl w:val="0"/>
          <w:numId w:val="1"/>
        </w:numPr>
        <w:spacing w:after="120"/>
        <w:rPr>
          <w:rFonts w:ascii="Arial" w:hAnsi="Arial" w:cs="Arial"/>
          <w:sz w:val="22"/>
          <w:szCs w:val="22"/>
        </w:rPr>
      </w:pPr>
      <w:r w:rsidRPr="00183A58">
        <w:rPr>
          <w:rFonts w:ascii="Arial" w:hAnsi="Arial" w:cs="Arial"/>
          <w:bCs/>
          <w:sz w:val="22"/>
          <w:szCs w:val="22"/>
        </w:rPr>
        <w:t>Navýšenie kapitálových výdavkov na zabezpečenie IT infraštruktúry Miestneho úradu</w:t>
      </w:r>
      <w:r w:rsidR="00BA4703">
        <w:rPr>
          <w:rFonts w:ascii="Arial" w:hAnsi="Arial" w:cs="Arial"/>
          <w:bCs/>
          <w:sz w:val="22"/>
          <w:szCs w:val="22"/>
        </w:rPr>
        <w:t xml:space="preserve"> </w:t>
      </w:r>
      <w:r w:rsidRPr="00183A58">
        <w:rPr>
          <w:rFonts w:ascii="Arial" w:hAnsi="Arial" w:cs="Arial"/>
          <w:bCs/>
          <w:sz w:val="22"/>
          <w:szCs w:val="22"/>
        </w:rPr>
        <w:t>Bratislava-Podunajské Biskupice</w:t>
      </w:r>
      <w:r>
        <w:rPr>
          <w:rFonts w:ascii="Arial" w:hAnsi="Arial" w:cs="Arial"/>
          <w:bCs/>
          <w:sz w:val="22"/>
          <w:szCs w:val="22"/>
        </w:rPr>
        <w:t xml:space="preserve"> vo výške</w:t>
      </w:r>
      <w:r w:rsidR="00BA4703">
        <w:rPr>
          <w:rFonts w:ascii="Arial" w:hAnsi="Arial" w:cs="Arial"/>
          <w:bCs/>
          <w:sz w:val="22"/>
          <w:szCs w:val="22"/>
        </w:rPr>
        <w:tab/>
      </w:r>
      <w:r w:rsidR="00BA4703">
        <w:rPr>
          <w:rFonts w:ascii="Arial" w:hAnsi="Arial" w:cs="Arial"/>
          <w:bCs/>
          <w:sz w:val="22"/>
          <w:szCs w:val="22"/>
        </w:rPr>
        <w:tab/>
      </w:r>
      <w:r w:rsidR="00BA4703">
        <w:rPr>
          <w:rFonts w:ascii="Arial" w:hAnsi="Arial" w:cs="Arial"/>
          <w:bCs/>
          <w:sz w:val="22"/>
          <w:szCs w:val="22"/>
        </w:rPr>
        <w:tab/>
        <w:t xml:space="preserve">   </w:t>
      </w:r>
      <w:r w:rsidR="00BA4703">
        <w:rPr>
          <w:rFonts w:ascii="Arial" w:hAnsi="Arial" w:cs="Arial"/>
          <w:bCs/>
          <w:sz w:val="22"/>
          <w:szCs w:val="22"/>
        </w:rPr>
        <w:tab/>
        <w:t xml:space="preserve">           </w:t>
      </w:r>
      <w:r w:rsidR="00CF0E4F">
        <w:rPr>
          <w:rFonts w:ascii="Arial" w:hAnsi="Arial" w:cs="Arial"/>
          <w:bCs/>
          <w:sz w:val="22"/>
          <w:szCs w:val="22"/>
        </w:rPr>
        <w:t xml:space="preserve"> </w:t>
      </w:r>
      <w:r w:rsidR="00BA4703">
        <w:rPr>
          <w:rFonts w:ascii="Arial" w:hAnsi="Arial" w:cs="Arial"/>
          <w:bCs/>
          <w:sz w:val="22"/>
          <w:szCs w:val="22"/>
        </w:rPr>
        <w:t xml:space="preserve"> 40.000,00 </w:t>
      </w:r>
      <w:r w:rsidR="00BA4703" w:rsidRPr="004243ED">
        <w:t>€</w:t>
      </w:r>
      <w:r w:rsidR="00BA4703">
        <w:t xml:space="preserve">   </w:t>
      </w:r>
    </w:p>
    <w:p w14:paraId="042478AE" w14:textId="77777777" w:rsidR="00CF0E4F" w:rsidRDefault="00183A58" w:rsidP="00183A58">
      <w:pPr>
        <w:pStyle w:val="Odsekzoznamu"/>
        <w:numPr>
          <w:ilvl w:val="0"/>
          <w:numId w:val="1"/>
        </w:numPr>
        <w:jc w:val="both"/>
        <w:rPr>
          <w:rFonts w:ascii="Arial" w:hAnsi="Arial" w:cs="Arial"/>
          <w:sz w:val="22"/>
          <w:szCs w:val="22"/>
        </w:rPr>
      </w:pPr>
      <w:r w:rsidRPr="00183A58">
        <w:rPr>
          <w:rFonts w:ascii="Arial" w:hAnsi="Arial" w:cs="Arial"/>
          <w:sz w:val="22"/>
          <w:szCs w:val="22"/>
        </w:rPr>
        <w:t xml:space="preserve">Navýšenie kapitálových výdavkov na obstaranie </w:t>
      </w:r>
      <w:r w:rsidR="00F7146D">
        <w:rPr>
          <w:rFonts w:ascii="Arial" w:hAnsi="Arial" w:cs="Arial"/>
          <w:sz w:val="22"/>
          <w:szCs w:val="22"/>
        </w:rPr>
        <w:t xml:space="preserve">pasportu </w:t>
      </w:r>
      <w:r w:rsidR="00CF0E4F">
        <w:rPr>
          <w:rFonts w:ascii="Arial" w:hAnsi="Arial" w:cs="Arial"/>
          <w:sz w:val="22"/>
          <w:szCs w:val="22"/>
        </w:rPr>
        <w:t>miestnych</w:t>
      </w:r>
      <w:r w:rsidR="00F7146D">
        <w:rPr>
          <w:rFonts w:ascii="Arial" w:hAnsi="Arial" w:cs="Arial"/>
          <w:sz w:val="22"/>
          <w:szCs w:val="22"/>
        </w:rPr>
        <w:t xml:space="preserve"> </w:t>
      </w:r>
    </w:p>
    <w:p w14:paraId="713CBC31" w14:textId="77777777" w:rsidR="00CF0E4F" w:rsidRDefault="00F7146D" w:rsidP="00CF0E4F">
      <w:pPr>
        <w:pStyle w:val="Odsekzoznamu"/>
        <w:jc w:val="both"/>
        <w:rPr>
          <w:rFonts w:ascii="Arial" w:hAnsi="Arial" w:cs="Arial"/>
          <w:sz w:val="22"/>
          <w:szCs w:val="22"/>
        </w:rPr>
      </w:pPr>
      <w:r>
        <w:rPr>
          <w:rFonts w:ascii="Arial" w:hAnsi="Arial" w:cs="Arial"/>
          <w:sz w:val="22"/>
          <w:szCs w:val="22"/>
        </w:rPr>
        <w:t xml:space="preserve">komunikácií </w:t>
      </w:r>
      <w:r w:rsidR="00CF0E4F">
        <w:rPr>
          <w:rFonts w:ascii="Arial" w:hAnsi="Arial" w:cs="Arial"/>
          <w:sz w:val="22"/>
          <w:szCs w:val="22"/>
        </w:rPr>
        <w:t xml:space="preserve">dopravného značenia, parkovísk a ich digitalizáciu </w:t>
      </w:r>
    </w:p>
    <w:p w14:paraId="1B244154" w14:textId="556E236F" w:rsidR="00EC3BD4" w:rsidRDefault="00BA4703" w:rsidP="00CF0E4F">
      <w:pPr>
        <w:pStyle w:val="Odsekzoznamu"/>
        <w:jc w:val="both"/>
        <w:rPr>
          <w:rFonts w:ascii="Arial" w:hAnsi="Arial" w:cs="Arial"/>
          <w:sz w:val="22"/>
          <w:szCs w:val="22"/>
        </w:rPr>
      </w:pPr>
      <w:r>
        <w:rPr>
          <w:rFonts w:ascii="Arial" w:hAnsi="Arial" w:cs="Arial"/>
          <w:sz w:val="22"/>
          <w:szCs w:val="22"/>
        </w:rPr>
        <w:t xml:space="preserve">vo výške                                                                       </w:t>
      </w:r>
      <w:r w:rsidR="00CF0E4F">
        <w:rPr>
          <w:rFonts w:ascii="Arial" w:hAnsi="Arial" w:cs="Arial"/>
          <w:sz w:val="22"/>
          <w:szCs w:val="22"/>
        </w:rPr>
        <w:t xml:space="preserve">                    </w:t>
      </w:r>
      <w:r>
        <w:rPr>
          <w:rFonts w:ascii="Arial" w:hAnsi="Arial" w:cs="Arial"/>
          <w:sz w:val="22"/>
          <w:szCs w:val="22"/>
        </w:rPr>
        <w:t xml:space="preserve">          </w:t>
      </w:r>
      <w:r w:rsidR="00F7146D">
        <w:rPr>
          <w:rFonts w:ascii="Arial" w:hAnsi="Arial" w:cs="Arial"/>
          <w:sz w:val="22"/>
          <w:szCs w:val="22"/>
        </w:rPr>
        <w:t xml:space="preserve">  55</w:t>
      </w:r>
      <w:r>
        <w:rPr>
          <w:rFonts w:ascii="Arial" w:hAnsi="Arial" w:cs="Arial"/>
          <w:sz w:val="22"/>
          <w:szCs w:val="22"/>
        </w:rPr>
        <w:t xml:space="preserve">.000,00 </w:t>
      </w:r>
      <w:r w:rsidRPr="004243ED">
        <w:t>€</w:t>
      </w:r>
    </w:p>
    <w:p w14:paraId="44BD093A" w14:textId="0DD9C4A1" w:rsidR="004D5704" w:rsidRPr="004D5704" w:rsidRDefault="00183A58" w:rsidP="004D5704">
      <w:pPr>
        <w:pStyle w:val="Odsekzoznamu"/>
        <w:numPr>
          <w:ilvl w:val="0"/>
          <w:numId w:val="1"/>
        </w:numPr>
        <w:rPr>
          <w:rFonts w:ascii="Arial" w:hAnsi="Arial" w:cs="Arial"/>
          <w:sz w:val="22"/>
          <w:szCs w:val="22"/>
        </w:rPr>
      </w:pPr>
      <w:r w:rsidRPr="004D5704">
        <w:rPr>
          <w:rFonts w:ascii="Arial" w:hAnsi="Arial" w:cs="Arial"/>
          <w:bCs/>
          <w:sz w:val="22"/>
          <w:szCs w:val="22"/>
        </w:rPr>
        <w:t>N</w:t>
      </w:r>
      <w:r w:rsidRPr="004D5704">
        <w:rPr>
          <w:rFonts w:ascii="Arial" w:hAnsi="Arial" w:cs="Arial"/>
          <w:sz w:val="22"/>
          <w:szCs w:val="22"/>
        </w:rPr>
        <w:t>avýšenie kapitálových výdavkov Dodávka a montáž snehových zábran ZŠ Vetvárska</w:t>
      </w:r>
      <w:r w:rsidR="00932C28" w:rsidRPr="004D5704">
        <w:rPr>
          <w:rFonts w:ascii="Arial" w:hAnsi="Arial" w:cs="Arial"/>
          <w:sz w:val="22"/>
          <w:szCs w:val="22"/>
        </w:rPr>
        <w:t xml:space="preserve"> vo</w:t>
      </w:r>
      <w:r w:rsidR="00BA4703" w:rsidRPr="004D5704">
        <w:rPr>
          <w:rFonts w:ascii="Arial" w:hAnsi="Arial" w:cs="Arial"/>
          <w:sz w:val="22"/>
          <w:szCs w:val="22"/>
        </w:rPr>
        <w:t xml:space="preserve"> výške         </w:t>
      </w:r>
      <w:r w:rsidR="004D5704">
        <w:rPr>
          <w:rFonts w:ascii="Arial" w:hAnsi="Arial" w:cs="Arial"/>
          <w:sz w:val="22"/>
          <w:szCs w:val="22"/>
        </w:rPr>
        <w:t xml:space="preserve"> </w:t>
      </w:r>
      <w:r w:rsidR="00BA4703" w:rsidRPr="004D5704">
        <w:rPr>
          <w:rFonts w:ascii="Arial" w:hAnsi="Arial" w:cs="Arial"/>
          <w:sz w:val="22"/>
          <w:szCs w:val="22"/>
        </w:rPr>
        <w:t xml:space="preserve">                                                                              </w:t>
      </w:r>
      <w:r w:rsidR="004D5704" w:rsidRPr="00932C28">
        <w:rPr>
          <w:rFonts w:ascii="Arial" w:hAnsi="Arial" w:cs="Arial"/>
          <w:sz w:val="22"/>
          <w:szCs w:val="22"/>
        </w:rPr>
        <w:t xml:space="preserve">8.500,00 </w:t>
      </w:r>
      <w:r w:rsidR="004D5704" w:rsidRPr="004243ED">
        <w:t>€</w:t>
      </w:r>
    </w:p>
    <w:p w14:paraId="480E000A" w14:textId="2B89F890" w:rsidR="00A45E3D" w:rsidRPr="00932C28" w:rsidRDefault="00A45E3D" w:rsidP="00E66482">
      <w:pPr>
        <w:pStyle w:val="Odsekzoznamu"/>
        <w:jc w:val="both"/>
        <w:rPr>
          <w:rFonts w:ascii="Arial" w:hAnsi="Arial" w:cs="Arial"/>
          <w:sz w:val="22"/>
          <w:szCs w:val="22"/>
        </w:rPr>
      </w:pPr>
    </w:p>
    <w:tbl>
      <w:tblPr>
        <w:tblpPr w:leftFromText="141" w:rightFromText="141" w:vertAnchor="text" w:horzAnchor="margin" w:tblpXSpec="center" w:tblpY="170"/>
        <w:tblW w:w="11466" w:type="dxa"/>
        <w:tblCellMar>
          <w:left w:w="70" w:type="dxa"/>
          <w:right w:w="70" w:type="dxa"/>
        </w:tblCellMar>
        <w:tblLook w:val="04A0" w:firstRow="1" w:lastRow="0" w:firstColumn="1" w:lastColumn="0" w:noHBand="0" w:noVBand="1"/>
      </w:tblPr>
      <w:tblGrid>
        <w:gridCol w:w="1118"/>
        <w:gridCol w:w="1934"/>
        <w:gridCol w:w="2040"/>
        <w:gridCol w:w="2314"/>
        <w:gridCol w:w="1880"/>
        <w:gridCol w:w="2180"/>
      </w:tblGrid>
      <w:tr w:rsidR="00A45E3D" w:rsidRPr="00A45E3D" w14:paraId="583B2372" w14:textId="77777777" w:rsidTr="00A45E3D">
        <w:trPr>
          <w:trHeight w:val="260"/>
        </w:trPr>
        <w:tc>
          <w:tcPr>
            <w:tcW w:w="1118" w:type="dxa"/>
            <w:tcBorders>
              <w:top w:val="nil"/>
              <w:left w:val="nil"/>
              <w:bottom w:val="nil"/>
              <w:right w:val="nil"/>
            </w:tcBorders>
            <w:shd w:val="clear" w:color="auto" w:fill="auto"/>
            <w:noWrap/>
            <w:vAlign w:val="bottom"/>
            <w:hideMark/>
          </w:tcPr>
          <w:p w14:paraId="5C2450DB" w14:textId="77777777" w:rsidR="00A45E3D" w:rsidRPr="00A45E3D" w:rsidRDefault="00A45E3D" w:rsidP="00A45E3D">
            <w:pPr>
              <w:rPr>
                <w:rFonts w:ascii="Arial" w:hAnsi="Arial" w:cs="Arial"/>
                <w:sz w:val="20"/>
                <w:szCs w:val="20"/>
              </w:rPr>
            </w:pPr>
          </w:p>
        </w:tc>
        <w:tc>
          <w:tcPr>
            <w:tcW w:w="1934" w:type="dxa"/>
            <w:tcBorders>
              <w:top w:val="nil"/>
              <w:left w:val="nil"/>
              <w:bottom w:val="nil"/>
              <w:right w:val="nil"/>
            </w:tcBorders>
            <w:shd w:val="clear" w:color="auto" w:fill="auto"/>
            <w:noWrap/>
            <w:vAlign w:val="bottom"/>
            <w:hideMark/>
          </w:tcPr>
          <w:p w14:paraId="783EB780" w14:textId="77777777" w:rsidR="00A45E3D" w:rsidRPr="00A45E3D" w:rsidRDefault="00A45E3D" w:rsidP="00A45E3D">
            <w:pPr>
              <w:rPr>
                <w:rFonts w:ascii="Arial" w:hAnsi="Arial" w:cs="Arial"/>
                <w:sz w:val="20"/>
                <w:szCs w:val="20"/>
              </w:rPr>
            </w:pPr>
          </w:p>
        </w:tc>
        <w:tc>
          <w:tcPr>
            <w:tcW w:w="2040" w:type="dxa"/>
            <w:tcBorders>
              <w:top w:val="single" w:sz="4" w:space="0" w:color="auto"/>
              <w:left w:val="single" w:sz="4" w:space="0" w:color="auto"/>
              <w:bottom w:val="nil"/>
              <w:right w:val="single" w:sz="4" w:space="0" w:color="auto"/>
            </w:tcBorders>
            <w:shd w:val="clear" w:color="000000" w:fill="FFFF99"/>
            <w:noWrap/>
            <w:vAlign w:val="bottom"/>
            <w:hideMark/>
          </w:tcPr>
          <w:p w14:paraId="19129074" w14:textId="77777777" w:rsidR="00A45E3D" w:rsidRPr="00A45E3D" w:rsidRDefault="00A45E3D" w:rsidP="00A45E3D">
            <w:pPr>
              <w:jc w:val="center"/>
              <w:rPr>
                <w:rFonts w:ascii="Arial" w:hAnsi="Arial" w:cs="Arial"/>
                <w:b/>
                <w:bCs/>
                <w:sz w:val="20"/>
                <w:szCs w:val="20"/>
              </w:rPr>
            </w:pPr>
            <w:r w:rsidRPr="00A45E3D">
              <w:rPr>
                <w:rFonts w:ascii="Arial" w:hAnsi="Arial" w:cs="Arial"/>
                <w:b/>
                <w:bCs/>
                <w:sz w:val="20"/>
                <w:szCs w:val="20"/>
              </w:rPr>
              <w:t xml:space="preserve"> Schválený </w:t>
            </w:r>
          </w:p>
        </w:tc>
        <w:tc>
          <w:tcPr>
            <w:tcW w:w="2314" w:type="dxa"/>
            <w:tcBorders>
              <w:top w:val="single" w:sz="4" w:space="0" w:color="auto"/>
              <w:left w:val="nil"/>
              <w:bottom w:val="nil"/>
              <w:right w:val="single" w:sz="4" w:space="0" w:color="auto"/>
            </w:tcBorders>
            <w:shd w:val="clear" w:color="000000" w:fill="FFFF99"/>
            <w:noWrap/>
            <w:vAlign w:val="bottom"/>
            <w:hideMark/>
          </w:tcPr>
          <w:p w14:paraId="783C7BCB" w14:textId="77777777" w:rsidR="00A45E3D" w:rsidRPr="00A45E3D" w:rsidRDefault="00A45E3D" w:rsidP="00A45E3D">
            <w:pPr>
              <w:jc w:val="center"/>
              <w:rPr>
                <w:rFonts w:ascii="Arial" w:hAnsi="Arial" w:cs="Arial"/>
                <w:b/>
                <w:bCs/>
                <w:sz w:val="20"/>
                <w:szCs w:val="20"/>
              </w:rPr>
            </w:pPr>
            <w:r w:rsidRPr="00A45E3D">
              <w:rPr>
                <w:rFonts w:ascii="Arial" w:hAnsi="Arial" w:cs="Arial"/>
                <w:b/>
                <w:bCs/>
                <w:sz w:val="20"/>
                <w:szCs w:val="20"/>
              </w:rPr>
              <w:t xml:space="preserve">  Upravený rozpočet </w:t>
            </w:r>
          </w:p>
        </w:tc>
        <w:tc>
          <w:tcPr>
            <w:tcW w:w="1880" w:type="dxa"/>
            <w:tcBorders>
              <w:top w:val="single" w:sz="4" w:space="0" w:color="auto"/>
              <w:left w:val="nil"/>
              <w:bottom w:val="nil"/>
              <w:right w:val="single" w:sz="4" w:space="0" w:color="auto"/>
            </w:tcBorders>
            <w:shd w:val="clear" w:color="000000" w:fill="FFFF99"/>
            <w:noWrap/>
            <w:vAlign w:val="bottom"/>
            <w:hideMark/>
          </w:tcPr>
          <w:p w14:paraId="436609CA" w14:textId="77777777" w:rsidR="00A45E3D" w:rsidRPr="00A45E3D" w:rsidRDefault="00A45E3D" w:rsidP="00A45E3D">
            <w:pPr>
              <w:jc w:val="center"/>
              <w:rPr>
                <w:rFonts w:ascii="Arial" w:hAnsi="Arial" w:cs="Arial"/>
                <w:b/>
                <w:bCs/>
                <w:sz w:val="20"/>
                <w:szCs w:val="20"/>
              </w:rPr>
            </w:pPr>
            <w:r w:rsidRPr="00A45E3D">
              <w:rPr>
                <w:rFonts w:ascii="Arial" w:hAnsi="Arial" w:cs="Arial"/>
                <w:b/>
                <w:bCs/>
                <w:sz w:val="20"/>
                <w:szCs w:val="20"/>
              </w:rPr>
              <w:t xml:space="preserve"> Návrh  </w:t>
            </w:r>
          </w:p>
        </w:tc>
        <w:tc>
          <w:tcPr>
            <w:tcW w:w="2180" w:type="dxa"/>
            <w:tcBorders>
              <w:top w:val="single" w:sz="4" w:space="0" w:color="auto"/>
              <w:left w:val="nil"/>
              <w:bottom w:val="nil"/>
              <w:right w:val="single" w:sz="4" w:space="0" w:color="auto"/>
            </w:tcBorders>
            <w:shd w:val="clear" w:color="000000" w:fill="FFFF99"/>
            <w:noWrap/>
            <w:vAlign w:val="bottom"/>
            <w:hideMark/>
          </w:tcPr>
          <w:p w14:paraId="3C926BB7" w14:textId="77777777" w:rsidR="00A45E3D" w:rsidRPr="00A45E3D" w:rsidRDefault="00A45E3D" w:rsidP="00A45E3D">
            <w:pPr>
              <w:jc w:val="center"/>
              <w:rPr>
                <w:rFonts w:ascii="Arial" w:hAnsi="Arial" w:cs="Arial"/>
                <w:b/>
                <w:bCs/>
                <w:sz w:val="20"/>
                <w:szCs w:val="20"/>
              </w:rPr>
            </w:pPr>
            <w:r w:rsidRPr="00A45E3D">
              <w:rPr>
                <w:rFonts w:ascii="Arial" w:hAnsi="Arial" w:cs="Arial"/>
                <w:b/>
                <w:bCs/>
                <w:sz w:val="20"/>
                <w:szCs w:val="20"/>
              </w:rPr>
              <w:t xml:space="preserve"> Návrh rozpočtu </w:t>
            </w:r>
          </w:p>
        </w:tc>
      </w:tr>
      <w:tr w:rsidR="00A45E3D" w:rsidRPr="00A45E3D" w14:paraId="5112F842" w14:textId="77777777" w:rsidTr="00A45E3D">
        <w:trPr>
          <w:trHeight w:val="260"/>
        </w:trPr>
        <w:tc>
          <w:tcPr>
            <w:tcW w:w="1118" w:type="dxa"/>
            <w:tcBorders>
              <w:top w:val="nil"/>
              <w:left w:val="nil"/>
              <w:bottom w:val="nil"/>
              <w:right w:val="nil"/>
            </w:tcBorders>
            <w:shd w:val="clear" w:color="auto" w:fill="auto"/>
            <w:noWrap/>
            <w:vAlign w:val="bottom"/>
            <w:hideMark/>
          </w:tcPr>
          <w:p w14:paraId="6FCBAFB1" w14:textId="77777777" w:rsidR="00A45E3D" w:rsidRPr="00A45E3D" w:rsidRDefault="00A45E3D" w:rsidP="00A45E3D">
            <w:pPr>
              <w:rPr>
                <w:rFonts w:ascii="Arial" w:hAnsi="Arial" w:cs="Arial"/>
                <w:sz w:val="20"/>
                <w:szCs w:val="20"/>
              </w:rPr>
            </w:pPr>
          </w:p>
        </w:tc>
        <w:tc>
          <w:tcPr>
            <w:tcW w:w="1934" w:type="dxa"/>
            <w:tcBorders>
              <w:top w:val="nil"/>
              <w:left w:val="nil"/>
              <w:bottom w:val="nil"/>
              <w:right w:val="nil"/>
            </w:tcBorders>
            <w:shd w:val="clear" w:color="auto" w:fill="auto"/>
            <w:noWrap/>
            <w:vAlign w:val="bottom"/>
            <w:hideMark/>
          </w:tcPr>
          <w:p w14:paraId="74200CFD" w14:textId="77777777" w:rsidR="00A45E3D" w:rsidRPr="00A45E3D" w:rsidRDefault="00A45E3D" w:rsidP="00A45E3D">
            <w:pPr>
              <w:rPr>
                <w:rFonts w:ascii="Arial" w:hAnsi="Arial" w:cs="Arial"/>
                <w:sz w:val="20"/>
                <w:szCs w:val="20"/>
              </w:rPr>
            </w:pPr>
          </w:p>
        </w:tc>
        <w:tc>
          <w:tcPr>
            <w:tcW w:w="2040" w:type="dxa"/>
            <w:tcBorders>
              <w:top w:val="nil"/>
              <w:left w:val="single" w:sz="4" w:space="0" w:color="auto"/>
              <w:bottom w:val="nil"/>
              <w:right w:val="single" w:sz="4" w:space="0" w:color="auto"/>
            </w:tcBorders>
            <w:shd w:val="clear" w:color="000000" w:fill="FFFF99"/>
            <w:noWrap/>
            <w:vAlign w:val="bottom"/>
            <w:hideMark/>
          </w:tcPr>
          <w:p w14:paraId="0C9F3123" w14:textId="77777777" w:rsidR="00A45E3D" w:rsidRPr="00A45E3D" w:rsidRDefault="00A45E3D" w:rsidP="00A45E3D">
            <w:pPr>
              <w:jc w:val="center"/>
              <w:rPr>
                <w:rFonts w:ascii="Arial" w:hAnsi="Arial" w:cs="Arial"/>
                <w:b/>
                <w:bCs/>
                <w:sz w:val="20"/>
                <w:szCs w:val="20"/>
              </w:rPr>
            </w:pPr>
            <w:r w:rsidRPr="00A45E3D">
              <w:rPr>
                <w:rFonts w:ascii="Arial" w:hAnsi="Arial" w:cs="Arial"/>
                <w:b/>
                <w:bCs/>
                <w:sz w:val="20"/>
                <w:szCs w:val="20"/>
              </w:rPr>
              <w:t xml:space="preserve"> rozpočet </w:t>
            </w:r>
          </w:p>
        </w:tc>
        <w:tc>
          <w:tcPr>
            <w:tcW w:w="2314" w:type="dxa"/>
            <w:tcBorders>
              <w:top w:val="nil"/>
              <w:left w:val="nil"/>
              <w:bottom w:val="nil"/>
              <w:right w:val="single" w:sz="4" w:space="0" w:color="auto"/>
            </w:tcBorders>
            <w:shd w:val="clear" w:color="000000" w:fill="FFFF99"/>
            <w:noWrap/>
            <w:vAlign w:val="bottom"/>
            <w:hideMark/>
          </w:tcPr>
          <w:p w14:paraId="522CBC7E" w14:textId="77777777" w:rsidR="00A45E3D" w:rsidRPr="00A45E3D" w:rsidRDefault="00A45E3D" w:rsidP="00A45E3D">
            <w:pPr>
              <w:jc w:val="center"/>
              <w:rPr>
                <w:rFonts w:ascii="Arial" w:hAnsi="Arial" w:cs="Arial"/>
                <w:b/>
                <w:bCs/>
                <w:sz w:val="20"/>
                <w:szCs w:val="20"/>
              </w:rPr>
            </w:pPr>
            <w:r w:rsidRPr="00A45E3D">
              <w:rPr>
                <w:rFonts w:ascii="Arial" w:hAnsi="Arial" w:cs="Arial"/>
                <w:b/>
                <w:bCs/>
                <w:sz w:val="20"/>
                <w:szCs w:val="20"/>
              </w:rPr>
              <w:t xml:space="preserve"> po zapracovaní </w:t>
            </w:r>
          </w:p>
        </w:tc>
        <w:tc>
          <w:tcPr>
            <w:tcW w:w="1880" w:type="dxa"/>
            <w:tcBorders>
              <w:top w:val="nil"/>
              <w:left w:val="nil"/>
              <w:bottom w:val="nil"/>
              <w:right w:val="single" w:sz="4" w:space="0" w:color="auto"/>
            </w:tcBorders>
            <w:shd w:val="clear" w:color="000000" w:fill="FFFF99"/>
            <w:noWrap/>
            <w:vAlign w:val="bottom"/>
            <w:hideMark/>
          </w:tcPr>
          <w:p w14:paraId="19481122" w14:textId="77777777" w:rsidR="00A45E3D" w:rsidRPr="00A45E3D" w:rsidRDefault="00A45E3D" w:rsidP="00A45E3D">
            <w:pPr>
              <w:jc w:val="center"/>
              <w:rPr>
                <w:rFonts w:ascii="Arial" w:hAnsi="Arial" w:cs="Arial"/>
                <w:b/>
                <w:bCs/>
                <w:sz w:val="20"/>
                <w:szCs w:val="20"/>
              </w:rPr>
            </w:pPr>
            <w:r w:rsidRPr="00A45E3D">
              <w:rPr>
                <w:rFonts w:ascii="Arial" w:hAnsi="Arial" w:cs="Arial"/>
                <w:b/>
                <w:bCs/>
                <w:sz w:val="20"/>
                <w:szCs w:val="20"/>
              </w:rPr>
              <w:t xml:space="preserve"> na III. zmenu </w:t>
            </w:r>
          </w:p>
        </w:tc>
        <w:tc>
          <w:tcPr>
            <w:tcW w:w="2180" w:type="dxa"/>
            <w:tcBorders>
              <w:top w:val="nil"/>
              <w:left w:val="nil"/>
              <w:bottom w:val="nil"/>
              <w:right w:val="single" w:sz="4" w:space="0" w:color="auto"/>
            </w:tcBorders>
            <w:shd w:val="clear" w:color="000000" w:fill="FFFF99"/>
            <w:noWrap/>
            <w:vAlign w:val="bottom"/>
            <w:hideMark/>
          </w:tcPr>
          <w:p w14:paraId="7CC5F347" w14:textId="77777777" w:rsidR="00A45E3D" w:rsidRPr="00A45E3D" w:rsidRDefault="00A45E3D" w:rsidP="00A45E3D">
            <w:pPr>
              <w:jc w:val="center"/>
              <w:rPr>
                <w:rFonts w:ascii="Arial" w:hAnsi="Arial" w:cs="Arial"/>
                <w:b/>
                <w:bCs/>
                <w:sz w:val="20"/>
                <w:szCs w:val="20"/>
              </w:rPr>
            </w:pPr>
            <w:r w:rsidRPr="00A45E3D">
              <w:rPr>
                <w:rFonts w:ascii="Arial" w:hAnsi="Arial" w:cs="Arial"/>
                <w:b/>
                <w:bCs/>
                <w:sz w:val="20"/>
                <w:szCs w:val="20"/>
              </w:rPr>
              <w:t xml:space="preserve"> po úprave </w:t>
            </w:r>
          </w:p>
        </w:tc>
      </w:tr>
      <w:tr w:rsidR="00A45E3D" w:rsidRPr="00A45E3D" w14:paraId="51C9B125" w14:textId="77777777" w:rsidTr="00A45E3D">
        <w:trPr>
          <w:trHeight w:val="260"/>
        </w:trPr>
        <w:tc>
          <w:tcPr>
            <w:tcW w:w="1118" w:type="dxa"/>
            <w:tcBorders>
              <w:top w:val="nil"/>
              <w:left w:val="nil"/>
              <w:bottom w:val="nil"/>
              <w:right w:val="nil"/>
            </w:tcBorders>
            <w:shd w:val="clear" w:color="auto" w:fill="auto"/>
            <w:noWrap/>
            <w:vAlign w:val="bottom"/>
            <w:hideMark/>
          </w:tcPr>
          <w:p w14:paraId="5FCAD36B" w14:textId="77777777" w:rsidR="00A45E3D" w:rsidRPr="00A45E3D" w:rsidRDefault="00A45E3D" w:rsidP="00A45E3D">
            <w:pPr>
              <w:rPr>
                <w:rFonts w:ascii="Arial" w:hAnsi="Arial" w:cs="Arial"/>
                <w:sz w:val="20"/>
                <w:szCs w:val="20"/>
              </w:rPr>
            </w:pPr>
          </w:p>
        </w:tc>
        <w:tc>
          <w:tcPr>
            <w:tcW w:w="1934" w:type="dxa"/>
            <w:tcBorders>
              <w:top w:val="nil"/>
              <w:left w:val="nil"/>
              <w:bottom w:val="nil"/>
              <w:right w:val="nil"/>
            </w:tcBorders>
            <w:shd w:val="clear" w:color="auto" w:fill="auto"/>
            <w:noWrap/>
            <w:vAlign w:val="bottom"/>
            <w:hideMark/>
          </w:tcPr>
          <w:p w14:paraId="031D88BD" w14:textId="77777777" w:rsidR="00A45E3D" w:rsidRPr="00A45E3D" w:rsidRDefault="00A45E3D" w:rsidP="00A45E3D">
            <w:pPr>
              <w:rPr>
                <w:rFonts w:ascii="Arial" w:hAnsi="Arial" w:cs="Arial"/>
                <w:sz w:val="20"/>
                <w:szCs w:val="20"/>
              </w:rPr>
            </w:pPr>
          </w:p>
        </w:tc>
        <w:tc>
          <w:tcPr>
            <w:tcW w:w="2040" w:type="dxa"/>
            <w:tcBorders>
              <w:top w:val="nil"/>
              <w:left w:val="single" w:sz="4" w:space="0" w:color="auto"/>
              <w:bottom w:val="single" w:sz="4" w:space="0" w:color="auto"/>
              <w:right w:val="single" w:sz="4" w:space="0" w:color="auto"/>
            </w:tcBorders>
            <w:shd w:val="clear" w:color="000000" w:fill="FFFF99"/>
            <w:noWrap/>
            <w:vAlign w:val="bottom"/>
            <w:hideMark/>
          </w:tcPr>
          <w:p w14:paraId="1F137E79" w14:textId="77777777" w:rsidR="00A45E3D" w:rsidRPr="00A45E3D" w:rsidRDefault="00A45E3D" w:rsidP="00A45E3D">
            <w:pPr>
              <w:jc w:val="center"/>
              <w:rPr>
                <w:rFonts w:ascii="Arial" w:hAnsi="Arial" w:cs="Arial"/>
                <w:b/>
                <w:bCs/>
                <w:sz w:val="20"/>
                <w:szCs w:val="20"/>
              </w:rPr>
            </w:pPr>
            <w:r w:rsidRPr="00A45E3D">
              <w:rPr>
                <w:rFonts w:ascii="Arial" w:hAnsi="Arial" w:cs="Arial"/>
                <w:b/>
                <w:bCs/>
                <w:sz w:val="20"/>
                <w:szCs w:val="20"/>
              </w:rPr>
              <w:t xml:space="preserve"> na rok 2021 </w:t>
            </w:r>
          </w:p>
        </w:tc>
        <w:tc>
          <w:tcPr>
            <w:tcW w:w="2314" w:type="dxa"/>
            <w:tcBorders>
              <w:top w:val="nil"/>
              <w:left w:val="nil"/>
              <w:bottom w:val="single" w:sz="4" w:space="0" w:color="auto"/>
              <w:right w:val="single" w:sz="4" w:space="0" w:color="auto"/>
            </w:tcBorders>
            <w:shd w:val="clear" w:color="000000" w:fill="FFFF99"/>
            <w:noWrap/>
            <w:vAlign w:val="bottom"/>
            <w:hideMark/>
          </w:tcPr>
          <w:p w14:paraId="49E7AA32" w14:textId="77777777" w:rsidR="00A45E3D" w:rsidRPr="00A45E3D" w:rsidRDefault="00A45E3D" w:rsidP="00A45E3D">
            <w:pPr>
              <w:jc w:val="center"/>
              <w:rPr>
                <w:rFonts w:ascii="Arial" w:hAnsi="Arial" w:cs="Arial"/>
                <w:b/>
                <w:bCs/>
                <w:sz w:val="20"/>
                <w:szCs w:val="20"/>
              </w:rPr>
            </w:pPr>
            <w:r w:rsidRPr="00A45E3D">
              <w:rPr>
                <w:rFonts w:ascii="Arial" w:hAnsi="Arial" w:cs="Arial"/>
                <w:b/>
                <w:bCs/>
                <w:sz w:val="20"/>
                <w:szCs w:val="20"/>
              </w:rPr>
              <w:t xml:space="preserve"> I. a II. zmeny </w:t>
            </w:r>
            <w:proofErr w:type="spellStart"/>
            <w:r w:rsidRPr="00A45E3D">
              <w:rPr>
                <w:rFonts w:ascii="Arial" w:hAnsi="Arial" w:cs="Arial"/>
                <w:b/>
                <w:bCs/>
                <w:sz w:val="20"/>
                <w:szCs w:val="20"/>
              </w:rPr>
              <w:t>rozp</w:t>
            </w:r>
            <w:proofErr w:type="spellEnd"/>
            <w:r w:rsidRPr="00A45E3D">
              <w:rPr>
                <w:rFonts w:ascii="Arial" w:hAnsi="Arial" w:cs="Arial"/>
                <w:b/>
                <w:bCs/>
                <w:sz w:val="20"/>
                <w:szCs w:val="20"/>
              </w:rPr>
              <w:t xml:space="preserve">. </w:t>
            </w:r>
          </w:p>
        </w:tc>
        <w:tc>
          <w:tcPr>
            <w:tcW w:w="1880" w:type="dxa"/>
            <w:tcBorders>
              <w:top w:val="nil"/>
              <w:left w:val="nil"/>
              <w:bottom w:val="single" w:sz="4" w:space="0" w:color="auto"/>
              <w:right w:val="single" w:sz="4" w:space="0" w:color="auto"/>
            </w:tcBorders>
            <w:shd w:val="clear" w:color="000000" w:fill="FFFF99"/>
            <w:noWrap/>
            <w:vAlign w:val="bottom"/>
            <w:hideMark/>
          </w:tcPr>
          <w:p w14:paraId="57792085" w14:textId="77777777" w:rsidR="00A45E3D" w:rsidRPr="00A45E3D" w:rsidRDefault="00A45E3D" w:rsidP="00A45E3D">
            <w:pPr>
              <w:jc w:val="center"/>
              <w:rPr>
                <w:rFonts w:ascii="Arial" w:hAnsi="Arial" w:cs="Arial"/>
                <w:b/>
                <w:bCs/>
                <w:sz w:val="20"/>
                <w:szCs w:val="20"/>
              </w:rPr>
            </w:pPr>
            <w:r w:rsidRPr="00A45E3D">
              <w:rPr>
                <w:rFonts w:ascii="Arial" w:hAnsi="Arial" w:cs="Arial"/>
                <w:b/>
                <w:bCs/>
                <w:sz w:val="20"/>
                <w:szCs w:val="20"/>
              </w:rPr>
              <w:t xml:space="preserve"> rozpočtu </w:t>
            </w:r>
          </w:p>
        </w:tc>
        <w:tc>
          <w:tcPr>
            <w:tcW w:w="2180" w:type="dxa"/>
            <w:tcBorders>
              <w:top w:val="nil"/>
              <w:left w:val="nil"/>
              <w:bottom w:val="single" w:sz="4" w:space="0" w:color="auto"/>
              <w:right w:val="single" w:sz="4" w:space="0" w:color="auto"/>
            </w:tcBorders>
            <w:shd w:val="clear" w:color="000000" w:fill="FFFF99"/>
            <w:noWrap/>
            <w:vAlign w:val="bottom"/>
            <w:hideMark/>
          </w:tcPr>
          <w:p w14:paraId="5CE17EC8" w14:textId="77777777" w:rsidR="00A45E3D" w:rsidRPr="00A45E3D" w:rsidRDefault="00A45E3D" w:rsidP="00A45E3D">
            <w:pPr>
              <w:jc w:val="center"/>
              <w:rPr>
                <w:rFonts w:ascii="Arial" w:hAnsi="Arial" w:cs="Arial"/>
                <w:b/>
                <w:bCs/>
                <w:sz w:val="20"/>
                <w:szCs w:val="20"/>
              </w:rPr>
            </w:pPr>
            <w:r w:rsidRPr="00A45E3D">
              <w:rPr>
                <w:rFonts w:ascii="Arial" w:hAnsi="Arial" w:cs="Arial"/>
                <w:b/>
                <w:bCs/>
                <w:sz w:val="20"/>
                <w:szCs w:val="20"/>
              </w:rPr>
              <w:t> </w:t>
            </w:r>
          </w:p>
        </w:tc>
      </w:tr>
      <w:tr w:rsidR="00A45E3D" w:rsidRPr="00A45E3D" w14:paraId="10100F78" w14:textId="77777777" w:rsidTr="00A45E3D">
        <w:trPr>
          <w:trHeight w:val="340"/>
        </w:trPr>
        <w:tc>
          <w:tcPr>
            <w:tcW w:w="305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19DC743" w14:textId="77777777" w:rsidR="00A45E3D" w:rsidRPr="00A45E3D" w:rsidRDefault="00A45E3D" w:rsidP="00A45E3D">
            <w:pPr>
              <w:jc w:val="center"/>
              <w:rPr>
                <w:rFonts w:ascii="Arial" w:hAnsi="Arial" w:cs="Arial"/>
                <w:sz w:val="27"/>
                <w:szCs w:val="27"/>
              </w:rPr>
            </w:pPr>
            <w:r w:rsidRPr="00A45E3D">
              <w:rPr>
                <w:rFonts w:ascii="Arial" w:hAnsi="Arial" w:cs="Arial"/>
                <w:sz w:val="27"/>
                <w:szCs w:val="27"/>
              </w:rPr>
              <w:t>BEŽNÉ PRÍJMY</w:t>
            </w:r>
          </w:p>
        </w:tc>
        <w:tc>
          <w:tcPr>
            <w:tcW w:w="2040" w:type="dxa"/>
            <w:tcBorders>
              <w:top w:val="nil"/>
              <w:left w:val="nil"/>
              <w:bottom w:val="single" w:sz="4" w:space="0" w:color="auto"/>
              <w:right w:val="single" w:sz="4" w:space="0" w:color="auto"/>
            </w:tcBorders>
            <w:shd w:val="clear" w:color="auto" w:fill="auto"/>
            <w:noWrap/>
            <w:vAlign w:val="bottom"/>
            <w:hideMark/>
          </w:tcPr>
          <w:p w14:paraId="5CF2219E" w14:textId="77777777" w:rsidR="00A45E3D" w:rsidRPr="00A45E3D" w:rsidRDefault="00A45E3D" w:rsidP="00A45E3D">
            <w:pPr>
              <w:rPr>
                <w:rFonts w:ascii="Arial" w:hAnsi="Arial" w:cs="Arial"/>
              </w:rPr>
            </w:pPr>
            <w:r w:rsidRPr="00A45E3D">
              <w:rPr>
                <w:rFonts w:ascii="Arial" w:hAnsi="Arial" w:cs="Arial"/>
              </w:rPr>
              <w:t xml:space="preserve">  10 760 150,00 € </w:t>
            </w:r>
          </w:p>
        </w:tc>
        <w:tc>
          <w:tcPr>
            <w:tcW w:w="2314" w:type="dxa"/>
            <w:tcBorders>
              <w:top w:val="nil"/>
              <w:left w:val="nil"/>
              <w:bottom w:val="single" w:sz="4" w:space="0" w:color="auto"/>
              <w:right w:val="single" w:sz="4" w:space="0" w:color="auto"/>
            </w:tcBorders>
            <w:shd w:val="clear" w:color="auto" w:fill="auto"/>
            <w:noWrap/>
            <w:vAlign w:val="bottom"/>
            <w:hideMark/>
          </w:tcPr>
          <w:p w14:paraId="500080CA" w14:textId="77777777" w:rsidR="00A45E3D" w:rsidRPr="00A45E3D" w:rsidRDefault="00A45E3D" w:rsidP="00A45E3D">
            <w:pPr>
              <w:rPr>
                <w:rFonts w:ascii="Arial" w:hAnsi="Arial" w:cs="Arial"/>
              </w:rPr>
            </w:pPr>
            <w:r w:rsidRPr="00A45E3D">
              <w:rPr>
                <w:rFonts w:ascii="Arial" w:hAnsi="Arial" w:cs="Arial"/>
              </w:rPr>
              <w:t xml:space="preserve">   10 760 150,00 € </w:t>
            </w:r>
          </w:p>
        </w:tc>
        <w:tc>
          <w:tcPr>
            <w:tcW w:w="1880" w:type="dxa"/>
            <w:tcBorders>
              <w:top w:val="nil"/>
              <w:left w:val="nil"/>
              <w:bottom w:val="single" w:sz="4" w:space="0" w:color="auto"/>
              <w:right w:val="single" w:sz="4" w:space="0" w:color="auto"/>
            </w:tcBorders>
            <w:shd w:val="clear" w:color="auto" w:fill="auto"/>
            <w:noWrap/>
            <w:vAlign w:val="bottom"/>
            <w:hideMark/>
          </w:tcPr>
          <w:p w14:paraId="3E59AFC8" w14:textId="77777777" w:rsidR="00A45E3D" w:rsidRPr="00A45E3D" w:rsidRDefault="00A45E3D" w:rsidP="00A45E3D">
            <w:pPr>
              <w:rPr>
                <w:rFonts w:ascii="Arial" w:hAnsi="Arial" w:cs="Arial"/>
                <w:sz w:val="27"/>
                <w:szCs w:val="27"/>
              </w:rPr>
            </w:pPr>
            <w:r w:rsidRPr="00A45E3D">
              <w:rPr>
                <w:rFonts w:ascii="Arial" w:hAnsi="Arial" w:cs="Arial"/>
                <w:sz w:val="27"/>
                <w:szCs w:val="27"/>
              </w:rPr>
              <w:t xml:space="preserve">               -   € </w:t>
            </w:r>
          </w:p>
        </w:tc>
        <w:tc>
          <w:tcPr>
            <w:tcW w:w="2180" w:type="dxa"/>
            <w:tcBorders>
              <w:top w:val="nil"/>
              <w:left w:val="nil"/>
              <w:bottom w:val="single" w:sz="4" w:space="0" w:color="auto"/>
              <w:right w:val="single" w:sz="4" w:space="0" w:color="auto"/>
            </w:tcBorders>
            <w:shd w:val="clear" w:color="auto" w:fill="auto"/>
            <w:noWrap/>
            <w:vAlign w:val="bottom"/>
            <w:hideMark/>
          </w:tcPr>
          <w:p w14:paraId="11B962CD" w14:textId="77777777" w:rsidR="00A45E3D" w:rsidRPr="00A45E3D" w:rsidRDefault="00A45E3D" w:rsidP="00A45E3D">
            <w:pPr>
              <w:rPr>
                <w:rFonts w:ascii="Arial" w:hAnsi="Arial" w:cs="Arial"/>
              </w:rPr>
            </w:pPr>
            <w:r w:rsidRPr="00A45E3D">
              <w:rPr>
                <w:rFonts w:ascii="Arial" w:hAnsi="Arial" w:cs="Arial"/>
              </w:rPr>
              <w:t xml:space="preserve">    10 760 150,00 € </w:t>
            </w:r>
          </w:p>
        </w:tc>
      </w:tr>
      <w:tr w:rsidR="00A45E3D" w:rsidRPr="00A45E3D" w14:paraId="0CC360AC" w14:textId="77777777" w:rsidTr="00A45E3D">
        <w:trPr>
          <w:trHeight w:val="350"/>
        </w:trPr>
        <w:tc>
          <w:tcPr>
            <w:tcW w:w="3052" w:type="dxa"/>
            <w:gridSpan w:val="2"/>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32E1C86" w14:textId="77777777" w:rsidR="00A45E3D" w:rsidRPr="00A45E3D" w:rsidRDefault="00A45E3D" w:rsidP="00A45E3D">
            <w:pPr>
              <w:jc w:val="center"/>
              <w:rPr>
                <w:rFonts w:ascii="Arial" w:hAnsi="Arial" w:cs="Arial"/>
                <w:sz w:val="28"/>
                <w:szCs w:val="28"/>
              </w:rPr>
            </w:pPr>
            <w:r w:rsidRPr="00A45E3D">
              <w:rPr>
                <w:rFonts w:ascii="Arial" w:hAnsi="Arial" w:cs="Arial"/>
                <w:sz w:val="28"/>
                <w:szCs w:val="28"/>
              </w:rPr>
              <w:t>KAPITÁLOVÉ PRÍJMY</w:t>
            </w:r>
          </w:p>
        </w:tc>
        <w:tc>
          <w:tcPr>
            <w:tcW w:w="2040" w:type="dxa"/>
            <w:tcBorders>
              <w:top w:val="nil"/>
              <w:left w:val="nil"/>
              <w:bottom w:val="single" w:sz="4" w:space="0" w:color="auto"/>
              <w:right w:val="single" w:sz="4" w:space="0" w:color="auto"/>
            </w:tcBorders>
            <w:shd w:val="clear" w:color="auto" w:fill="auto"/>
            <w:noWrap/>
            <w:vAlign w:val="bottom"/>
            <w:hideMark/>
          </w:tcPr>
          <w:p w14:paraId="2B0927C8" w14:textId="77777777" w:rsidR="00A45E3D" w:rsidRPr="00A45E3D" w:rsidRDefault="00A45E3D" w:rsidP="00A45E3D">
            <w:pPr>
              <w:rPr>
                <w:rFonts w:ascii="Arial" w:hAnsi="Arial" w:cs="Arial"/>
              </w:rPr>
            </w:pPr>
            <w:r w:rsidRPr="00A45E3D">
              <w:rPr>
                <w:rFonts w:ascii="Arial" w:hAnsi="Arial" w:cs="Arial"/>
              </w:rPr>
              <w:t xml:space="preserve">        20 000,00 € </w:t>
            </w:r>
          </w:p>
        </w:tc>
        <w:tc>
          <w:tcPr>
            <w:tcW w:w="2314" w:type="dxa"/>
            <w:tcBorders>
              <w:top w:val="nil"/>
              <w:left w:val="nil"/>
              <w:bottom w:val="single" w:sz="4" w:space="0" w:color="auto"/>
              <w:right w:val="single" w:sz="4" w:space="0" w:color="auto"/>
            </w:tcBorders>
            <w:shd w:val="clear" w:color="auto" w:fill="auto"/>
            <w:noWrap/>
            <w:vAlign w:val="bottom"/>
            <w:hideMark/>
          </w:tcPr>
          <w:p w14:paraId="1947FB1A" w14:textId="77777777" w:rsidR="00A45E3D" w:rsidRPr="00A45E3D" w:rsidRDefault="00A45E3D" w:rsidP="00A45E3D">
            <w:pPr>
              <w:rPr>
                <w:rFonts w:ascii="Arial" w:hAnsi="Arial" w:cs="Arial"/>
              </w:rPr>
            </w:pPr>
            <w:r w:rsidRPr="00A45E3D">
              <w:rPr>
                <w:rFonts w:ascii="Arial" w:hAnsi="Arial" w:cs="Arial"/>
              </w:rPr>
              <w:t xml:space="preserve">         20 000,00 € </w:t>
            </w:r>
          </w:p>
        </w:tc>
        <w:tc>
          <w:tcPr>
            <w:tcW w:w="1880" w:type="dxa"/>
            <w:tcBorders>
              <w:top w:val="nil"/>
              <w:left w:val="nil"/>
              <w:bottom w:val="single" w:sz="4" w:space="0" w:color="auto"/>
              <w:right w:val="single" w:sz="4" w:space="0" w:color="auto"/>
            </w:tcBorders>
            <w:shd w:val="clear" w:color="auto" w:fill="auto"/>
            <w:noWrap/>
            <w:vAlign w:val="bottom"/>
            <w:hideMark/>
          </w:tcPr>
          <w:p w14:paraId="7978C6F2" w14:textId="77777777" w:rsidR="00A45E3D" w:rsidRPr="00A45E3D" w:rsidRDefault="00A45E3D" w:rsidP="00A45E3D">
            <w:pPr>
              <w:rPr>
                <w:rFonts w:ascii="Arial" w:hAnsi="Arial" w:cs="Arial"/>
              </w:rPr>
            </w:pPr>
            <w:r w:rsidRPr="00A45E3D">
              <w:rPr>
                <w:rFonts w:ascii="Arial" w:hAnsi="Arial" w:cs="Arial"/>
              </w:rPr>
              <w:t xml:space="preserve">                  -   € </w:t>
            </w:r>
          </w:p>
        </w:tc>
        <w:tc>
          <w:tcPr>
            <w:tcW w:w="2180" w:type="dxa"/>
            <w:tcBorders>
              <w:top w:val="nil"/>
              <w:left w:val="nil"/>
              <w:bottom w:val="single" w:sz="4" w:space="0" w:color="auto"/>
              <w:right w:val="single" w:sz="4" w:space="0" w:color="auto"/>
            </w:tcBorders>
            <w:shd w:val="clear" w:color="auto" w:fill="auto"/>
            <w:noWrap/>
            <w:vAlign w:val="bottom"/>
            <w:hideMark/>
          </w:tcPr>
          <w:p w14:paraId="29751C17" w14:textId="77777777" w:rsidR="00A45E3D" w:rsidRPr="00A45E3D" w:rsidRDefault="00A45E3D" w:rsidP="003E45DA">
            <w:pPr>
              <w:rPr>
                <w:rFonts w:ascii="Arial" w:hAnsi="Arial" w:cs="Arial"/>
              </w:rPr>
            </w:pPr>
            <w:r w:rsidRPr="00A45E3D">
              <w:rPr>
                <w:rFonts w:ascii="Arial" w:hAnsi="Arial" w:cs="Arial"/>
              </w:rPr>
              <w:t xml:space="preserve">       </w:t>
            </w:r>
            <w:r w:rsidR="003E45DA">
              <w:rPr>
                <w:rFonts w:ascii="Arial" w:hAnsi="Arial" w:cs="Arial"/>
              </w:rPr>
              <w:t xml:space="preserve">  </w:t>
            </w:r>
            <w:r w:rsidRPr="00A45E3D">
              <w:rPr>
                <w:rFonts w:ascii="Arial" w:hAnsi="Arial" w:cs="Arial"/>
              </w:rPr>
              <w:t xml:space="preserve">  </w:t>
            </w:r>
            <w:r w:rsidR="003E45DA">
              <w:rPr>
                <w:rFonts w:ascii="Arial" w:hAnsi="Arial" w:cs="Arial"/>
              </w:rPr>
              <w:t>2</w:t>
            </w:r>
            <w:r w:rsidRPr="00A45E3D">
              <w:rPr>
                <w:rFonts w:ascii="Arial" w:hAnsi="Arial" w:cs="Arial"/>
              </w:rPr>
              <w:t xml:space="preserve">0 000,00 € </w:t>
            </w:r>
          </w:p>
        </w:tc>
      </w:tr>
      <w:tr w:rsidR="00A45E3D" w:rsidRPr="00A45E3D" w14:paraId="0F18B4A2" w14:textId="77777777" w:rsidTr="00A45E3D">
        <w:trPr>
          <w:trHeight w:val="340"/>
        </w:trPr>
        <w:tc>
          <w:tcPr>
            <w:tcW w:w="305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E605072" w14:textId="77777777" w:rsidR="00A45E3D" w:rsidRPr="00A45E3D" w:rsidRDefault="00A45E3D" w:rsidP="00A45E3D">
            <w:pPr>
              <w:jc w:val="center"/>
              <w:rPr>
                <w:rFonts w:ascii="Arial" w:hAnsi="Arial" w:cs="Arial"/>
                <w:sz w:val="27"/>
                <w:szCs w:val="27"/>
              </w:rPr>
            </w:pPr>
            <w:r w:rsidRPr="00A45E3D">
              <w:rPr>
                <w:rFonts w:ascii="Arial" w:hAnsi="Arial" w:cs="Arial"/>
                <w:sz w:val="27"/>
                <w:szCs w:val="27"/>
              </w:rPr>
              <w:t>FINANČNÉ OPERÁCIE</w:t>
            </w:r>
          </w:p>
        </w:tc>
        <w:tc>
          <w:tcPr>
            <w:tcW w:w="2040" w:type="dxa"/>
            <w:tcBorders>
              <w:top w:val="nil"/>
              <w:left w:val="nil"/>
              <w:bottom w:val="single" w:sz="4" w:space="0" w:color="auto"/>
              <w:right w:val="single" w:sz="4" w:space="0" w:color="auto"/>
            </w:tcBorders>
            <w:shd w:val="clear" w:color="auto" w:fill="auto"/>
            <w:noWrap/>
            <w:vAlign w:val="bottom"/>
            <w:hideMark/>
          </w:tcPr>
          <w:p w14:paraId="0FFAF477" w14:textId="77777777" w:rsidR="00A45E3D" w:rsidRPr="00A45E3D" w:rsidRDefault="00A45E3D" w:rsidP="00A45E3D">
            <w:pPr>
              <w:rPr>
                <w:rFonts w:ascii="Arial" w:hAnsi="Arial" w:cs="Arial"/>
              </w:rPr>
            </w:pPr>
            <w:r w:rsidRPr="00A45E3D">
              <w:rPr>
                <w:rFonts w:ascii="Arial" w:hAnsi="Arial" w:cs="Arial"/>
              </w:rPr>
              <w:t xml:space="preserve">       480 000,00 € </w:t>
            </w:r>
          </w:p>
        </w:tc>
        <w:tc>
          <w:tcPr>
            <w:tcW w:w="2314" w:type="dxa"/>
            <w:tcBorders>
              <w:top w:val="nil"/>
              <w:left w:val="nil"/>
              <w:bottom w:val="single" w:sz="4" w:space="0" w:color="auto"/>
              <w:right w:val="single" w:sz="4" w:space="0" w:color="auto"/>
            </w:tcBorders>
            <w:shd w:val="clear" w:color="auto" w:fill="auto"/>
            <w:noWrap/>
            <w:vAlign w:val="bottom"/>
            <w:hideMark/>
          </w:tcPr>
          <w:p w14:paraId="298144E9" w14:textId="77777777" w:rsidR="00A45E3D" w:rsidRPr="00A45E3D" w:rsidRDefault="00A45E3D" w:rsidP="00A45E3D">
            <w:pPr>
              <w:rPr>
                <w:rFonts w:ascii="Arial" w:hAnsi="Arial" w:cs="Arial"/>
              </w:rPr>
            </w:pPr>
            <w:r w:rsidRPr="00A45E3D">
              <w:rPr>
                <w:rFonts w:ascii="Arial" w:hAnsi="Arial" w:cs="Arial"/>
              </w:rPr>
              <w:t xml:space="preserve">        519 700,00 € </w:t>
            </w:r>
          </w:p>
        </w:tc>
        <w:tc>
          <w:tcPr>
            <w:tcW w:w="1880" w:type="dxa"/>
            <w:tcBorders>
              <w:top w:val="nil"/>
              <w:left w:val="nil"/>
              <w:bottom w:val="single" w:sz="4" w:space="0" w:color="auto"/>
              <w:right w:val="single" w:sz="4" w:space="0" w:color="auto"/>
            </w:tcBorders>
            <w:shd w:val="clear" w:color="auto" w:fill="auto"/>
            <w:noWrap/>
            <w:vAlign w:val="bottom"/>
            <w:hideMark/>
          </w:tcPr>
          <w:p w14:paraId="5F3D63A7" w14:textId="77777777" w:rsidR="00A45E3D" w:rsidRPr="00A45E3D" w:rsidRDefault="00A45E3D" w:rsidP="00A45E3D">
            <w:pPr>
              <w:rPr>
                <w:rFonts w:ascii="Arial" w:hAnsi="Arial" w:cs="Arial"/>
              </w:rPr>
            </w:pPr>
            <w:r w:rsidRPr="00A45E3D">
              <w:rPr>
                <w:rFonts w:ascii="Arial" w:hAnsi="Arial" w:cs="Arial"/>
              </w:rPr>
              <w:t xml:space="preserve">                  -   € </w:t>
            </w:r>
          </w:p>
        </w:tc>
        <w:tc>
          <w:tcPr>
            <w:tcW w:w="2180" w:type="dxa"/>
            <w:tcBorders>
              <w:top w:val="nil"/>
              <w:left w:val="nil"/>
              <w:bottom w:val="single" w:sz="4" w:space="0" w:color="auto"/>
              <w:right w:val="single" w:sz="4" w:space="0" w:color="auto"/>
            </w:tcBorders>
            <w:shd w:val="clear" w:color="auto" w:fill="auto"/>
            <w:noWrap/>
            <w:vAlign w:val="bottom"/>
            <w:hideMark/>
          </w:tcPr>
          <w:p w14:paraId="5124E2AC" w14:textId="77777777" w:rsidR="00A45E3D" w:rsidRPr="00A45E3D" w:rsidRDefault="00A45E3D" w:rsidP="003E45DA">
            <w:pPr>
              <w:rPr>
                <w:rFonts w:ascii="Arial" w:hAnsi="Arial" w:cs="Arial"/>
              </w:rPr>
            </w:pPr>
            <w:r w:rsidRPr="00A45E3D">
              <w:rPr>
                <w:rFonts w:ascii="Arial" w:hAnsi="Arial" w:cs="Arial"/>
              </w:rPr>
              <w:t xml:space="preserve">         </w:t>
            </w:r>
            <w:r w:rsidR="003E45DA">
              <w:rPr>
                <w:rFonts w:ascii="Arial" w:hAnsi="Arial" w:cs="Arial"/>
              </w:rPr>
              <w:t>51</w:t>
            </w:r>
            <w:r w:rsidRPr="00A45E3D">
              <w:rPr>
                <w:rFonts w:ascii="Arial" w:hAnsi="Arial" w:cs="Arial"/>
              </w:rPr>
              <w:t xml:space="preserve">9 700,00 € </w:t>
            </w:r>
          </w:p>
        </w:tc>
      </w:tr>
      <w:tr w:rsidR="00A45E3D" w:rsidRPr="00A45E3D" w14:paraId="529626F3" w14:textId="77777777" w:rsidTr="00A45E3D">
        <w:trPr>
          <w:trHeight w:val="350"/>
        </w:trPr>
        <w:tc>
          <w:tcPr>
            <w:tcW w:w="1118" w:type="dxa"/>
            <w:tcBorders>
              <w:top w:val="nil"/>
              <w:left w:val="nil"/>
              <w:bottom w:val="nil"/>
              <w:right w:val="nil"/>
            </w:tcBorders>
            <w:shd w:val="clear" w:color="auto" w:fill="auto"/>
            <w:noWrap/>
            <w:vAlign w:val="bottom"/>
            <w:hideMark/>
          </w:tcPr>
          <w:p w14:paraId="41D65DA7" w14:textId="77777777" w:rsidR="00A45E3D" w:rsidRPr="00A45E3D" w:rsidRDefault="00A45E3D" w:rsidP="00A45E3D">
            <w:pPr>
              <w:rPr>
                <w:rFonts w:ascii="Arial" w:hAnsi="Arial" w:cs="Arial"/>
                <w:sz w:val="27"/>
                <w:szCs w:val="27"/>
              </w:rPr>
            </w:pPr>
          </w:p>
        </w:tc>
        <w:tc>
          <w:tcPr>
            <w:tcW w:w="1934" w:type="dxa"/>
            <w:tcBorders>
              <w:top w:val="nil"/>
              <w:left w:val="nil"/>
              <w:bottom w:val="nil"/>
              <w:right w:val="nil"/>
            </w:tcBorders>
            <w:shd w:val="clear" w:color="auto" w:fill="auto"/>
            <w:noWrap/>
            <w:vAlign w:val="bottom"/>
            <w:hideMark/>
          </w:tcPr>
          <w:p w14:paraId="57D3AF5A" w14:textId="77777777" w:rsidR="00A45E3D" w:rsidRPr="00A45E3D" w:rsidRDefault="00A45E3D" w:rsidP="00A45E3D">
            <w:pPr>
              <w:rPr>
                <w:rFonts w:ascii="Arial" w:hAnsi="Arial" w:cs="Arial"/>
                <w:sz w:val="27"/>
                <w:szCs w:val="27"/>
              </w:rPr>
            </w:pPr>
          </w:p>
        </w:tc>
        <w:tc>
          <w:tcPr>
            <w:tcW w:w="2040" w:type="dxa"/>
            <w:tcBorders>
              <w:top w:val="nil"/>
              <w:left w:val="nil"/>
              <w:bottom w:val="nil"/>
              <w:right w:val="nil"/>
            </w:tcBorders>
            <w:shd w:val="clear" w:color="auto" w:fill="auto"/>
            <w:noWrap/>
            <w:vAlign w:val="bottom"/>
            <w:hideMark/>
          </w:tcPr>
          <w:p w14:paraId="6EFAE7CF" w14:textId="77777777" w:rsidR="00A45E3D" w:rsidRPr="00A45E3D" w:rsidRDefault="00A45E3D" w:rsidP="00A45E3D">
            <w:pPr>
              <w:rPr>
                <w:rFonts w:ascii="Arial" w:hAnsi="Arial" w:cs="Arial"/>
              </w:rPr>
            </w:pPr>
          </w:p>
        </w:tc>
        <w:tc>
          <w:tcPr>
            <w:tcW w:w="2314" w:type="dxa"/>
            <w:tcBorders>
              <w:top w:val="nil"/>
              <w:left w:val="nil"/>
              <w:bottom w:val="nil"/>
              <w:right w:val="nil"/>
            </w:tcBorders>
            <w:shd w:val="clear" w:color="auto" w:fill="auto"/>
            <w:noWrap/>
            <w:vAlign w:val="bottom"/>
            <w:hideMark/>
          </w:tcPr>
          <w:p w14:paraId="2A9BE16B" w14:textId="77777777" w:rsidR="00A45E3D" w:rsidRPr="00A45E3D" w:rsidRDefault="00A45E3D" w:rsidP="00A45E3D">
            <w:pPr>
              <w:rPr>
                <w:rFonts w:ascii="Arial" w:hAnsi="Arial" w:cs="Arial"/>
              </w:rPr>
            </w:pPr>
          </w:p>
        </w:tc>
        <w:tc>
          <w:tcPr>
            <w:tcW w:w="1880" w:type="dxa"/>
            <w:tcBorders>
              <w:top w:val="nil"/>
              <w:left w:val="nil"/>
              <w:bottom w:val="nil"/>
              <w:right w:val="nil"/>
            </w:tcBorders>
            <w:shd w:val="clear" w:color="auto" w:fill="auto"/>
            <w:noWrap/>
            <w:vAlign w:val="bottom"/>
            <w:hideMark/>
          </w:tcPr>
          <w:p w14:paraId="39238B08" w14:textId="77777777" w:rsidR="00A45E3D" w:rsidRPr="00A45E3D" w:rsidRDefault="00A45E3D" w:rsidP="00A45E3D">
            <w:pPr>
              <w:rPr>
                <w:rFonts w:ascii="Arial" w:hAnsi="Arial" w:cs="Arial"/>
              </w:rPr>
            </w:pPr>
          </w:p>
        </w:tc>
        <w:tc>
          <w:tcPr>
            <w:tcW w:w="2180" w:type="dxa"/>
            <w:tcBorders>
              <w:top w:val="nil"/>
              <w:left w:val="nil"/>
              <w:bottom w:val="nil"/>
              <w:right w:val="nil"/>
            </w:tcBorders>
            <w:shd w:val="clear" w:color="auto" w:fill="auto"/>
            <w:noWrap/>
            <w:vAlign w:val="bottom"/>
            <w:hideMark/>
          </w:tcPr>
          <w:p w14:paraId="23997E7C" w14:textId="77777777" w:rsidR="00A45E3D" w:rsidRPr="00A45E3D" w:rsidRDefault="00A45E3D" w:rsidP="00A45E3D">
            <w:pPr>
              <w:rPr>
                <w:rFonts w:ascii="Arial" w:hAnsi="Arial" w:cs="Arial"/>
              </w:rPr>
            </w:pPr>
          </w:p>
        </w:tc>
      </w:tr>
      <w:tr w:rsidR="00A45E3D" w:rsidRPr="00A45E3D" w14:paraId="385205B0" w14:textId="77777777" w:rsidTr="00A45E3D">
        <w:trPr>
          <w:trHeight w:val="350"/>
        </w:trPr>
        <w:tc>
          <w:tcPr>
            <w:tcW w:w="3052" w:type="dxa"/>
            <w:gridSpan w:val="2"/>
            <w:tcBorders>
              <w:top w:val="single" w:sz="8" w:space="0" w:color="auto"/>
              <w:left w:val="single" w:sz="8" w:space="0" w:color="auto"/>
              <w:bottom w:val="single" w:sz="8" w:space="0" w:color="auto"/>
              <w:right w:val="single" w:sz="8" w:space="0" w:color="000000"/>
            </w:tcBorders>
            <w:shd w:val="clear" w:color="000000" w:fill="C5BE97"/>
            <w:noWrap/>
            <w:vAlign w:val="bottom"/>
            <w:hideMark/>
          </w:tcPr>
          <w:p w14:paraId="65611230" w14:textId="77777777" w:rsidR="00A45E3D" w:rsidRPr="00A45E3D" w:rsidRDefault="00A45E3D" w:rsidP="00A45E3D">
            <w:pPr>
              <w:jc w:val="center"/>
              <w:rPr>
                <w:rFonts w:ascii="Arial" w:hAnsi="Arial" w:cs="Arial"/>
                <w:sz w:val="27"/>
                <w:szCs w:val="27"/>
              </w:rPr>
            </w:pPr>
            <w:r w:rsidRPr="00A45E3D">
              <w:rPr>
                <w:rFonts w:ascii="Arial" w:hAnsi="Arial" w:cs="Arial"/>
                <w:sz w:val="27"/>
                <w:szCs w:val="27"/>
              </w:rPr>
              <w:t>CELKOM:</w:t>
            </w:r>
          </w:p>
        </w:tc>
        <w:tc>
          <w:tcPr>
            <w:tcW w:w="2040" w:type="dxa"/>
            <w:tcBorders>
              <w:top w:val="single" w:sz="8" w:space="0" w:color="auto"/>
              <w:left w:val="nil"/>
              <w:bottom w:val="single" w:sz="8" w:space="0" w:color="auto"/>
              <w:right w:val="nil"/>
            </w:tcBorders>
            <w:shd w:val="clear" w:color="000000" w:fill="C5BE97"/>
            <w:noWrap/>
            <w:vAlign w:val="bottom"/>
            <w:hideMark/>
          </w:tcPr>
          <w:p w14:paraId="5803BA71" w14:textId="77777777" w:rsidR="00A45E3D" w:rsidRPr="00A45E3D" w:rsidRDefault="00A45E3D" w:rsidP="00A45E3D">
            <w:pPr>
              <w:rPr>
                <w:rFonts w:ascii="Arial" w:hAnsi="Arial" w:cs="Arial"/>
              </w:rPr>
            </w:pPr>
            <w:r w:rsidRPr="00A45E3D">
              <w:rPr>
                <w:rFonts w:ascii="Arial" w:hAnsi="Arial" w:cs="Arial"/>
              </w:rPr>
              <w:t xml:space="preserve">  11 260 150,00 € </w:t>
            </w:r>
          </w:p>
        </w:tc>
        <w:tc>
          <w:tcPr>
            <w:tcW w:w="2314" w:type="dxa"/>
            <w:tcBorders>
              <w:top w:val="single" w:sz="8" w:space="0" w:color="auto"/>
              <w:left w:val="single" w:sz="8" w:space="0" w:color="auto"/>
              <w:bottom w:val="single" w:sz="8" w:space="0" w:color="auto"/>
              <w:right w:val="single" w:sz="8" w:space="0" w:color="auto"/>
            </w:tcBorders>
            <w:shd w:val="clear" w:color="000000" w:fill="C5BE97"/>
            <w:noWrap/>
            <w:vAlign w:val="bottom"/>
            <w:hideMark/>
          </w:tcPr>
          <w:p w14:paraId="22145652" w14:textId="77777777" w:rsidR="00A45E3D" w:rsidRPr="00A45E3D" w:rsidRDefault="00A45E3D" w:rsidP="00A45E3D">
            <w:pPr>
              <w:rPr>
                <w:rFonts w:ascii="Arial" w:hAnsi="Arial" w:cs="Arial"/>
              </w:rPr>
            </w:pPr>
            <w:r w:rsidRPr="00A45E3D">
              <w:rPr>
                <w:rFonts w:ascii="Arial" w:hAnsi="Arial" w:cs="Arial"/>
              </w:rPr>
              <w:t xml:space="preserve">   11 299 850,00 € </w:t>
            </w:r>
          </w:p>
        </w:tc>
        <w:tc>
          <w:tcPr>
            <w:tcW w:w="1880" w:type="dxa"/>
            <w:tcBorders>
              <w:top w:val="single" w:sz="8" w:space="0" w:color="auto"/>
              <w:left w:val="nil"/>
              <w:bottom w:val="single" w:sz="8" w:space="0" w:color="auto"/>
              <w:right w:val="single" w:sz="8" w:space="0" w:color="auto"/>
            </w:tcBorders>
            <w:shd w:val="clear" w:color="000000" w:fill="C5BE97"/>
            <w:noWrap/>
            <w:vAlign w:val="bottom"/>
            <w:hideMark/>
          </w:tcPr>
          <w:p w14:paraId="01405665" w14:textId="77777777" w:rsidR="00A45E3D" w:rsidRPr="00A45E3D" w:rsidRDefault="00A45E3D" w:rsidP="00A45E3D">
            <w:pPr>
              <w:rPr>
                <w:rFonts w:ascii="Arial" w:hAnsi="Arial" w:cs="Arial"/>
              </w:rPr>
            </w:pPr>
            <w:r w:rsidRPr="00A45E3D">
              <w:rPr>
                <w:rFonts w:ascii="Arial" w:hAnsi="Arial" w:cs="Arial"/>
              </w:rPr>
              <w:t xml:space="preserve">                  -   € </w:t>
            </w:r>
          </w:p>
        </w:tc>
        <w:tc>
          <w:tcPr>
            <w:tcW w:w="2180" w:type="dxa"/>
            <w:tcBorders>
              <w:top w:val="single" w:sz="8" w:space="0" w:color="auto"/>
              <w:left w:val="nil"/>
              <w:bottom w:val="single" w:sz="8" w:space="0" w:color="auto"/>
              <w:right w:val="single" w:sz="8" w:space="0" w:color="auto"/>
            </w:tcBorders>
            <w:shd w:val="clear" w:color="000000" w:fill="C5BE97"/>
            <w:noWrap/>
            <w:vAlign w:val="bottom"/>
            <w:hideMark/>
          </w:tcPr>
          <w:p w14:paraId="1C3F0290" w14:textId="364A9BEA" w:rsidR="00A45E3D" w:rsidRPr="00A45E3D" w:rsidRDefault="00DC1DFA" w:rsidP="00A45E3D">
            <w:pPr>
              <w:rPr>
                <w:rFonts w:ascii="Arial" w:hAnsi="Arial" w:cs="Arial"/>
              </w:rPr>
            </w:pPr>
            <w:r>
              <w:rPr>
                <w:rFonts w:ascii="Arial" w:hAnsi="Arial" w:cs="Arial"/>
              </w:rPr>
              <w:t xml:space="preserve">    11 299 850,00 €</w:t>
            </w:r>
          </w:p>
        </w:tc>
      </w:tr>
      <w:tr w:rsidR="00A45E3D" w:rsidRPr="00A45E3D" w14:paraId="6E24DF3B" w14:textId="77777777" w:rsidTr="00A45E3D">
        <w:trPr>
          <w:trHeight w:val="340"/>
        </w:trPr>
        <w:tc>
          <w:tcPr>
            <w:tcW w:w="1118" w:type="dxa"/>
            <w:tcBorders>
              <w:top w:val="nil"/>
              <w:left w:val="nil"/>
              <w:bottom w:val="nil"/>
              <w:right w:val="nil"/>
            </w:tcBorders>
            <w:shd w:val="clear" w:color="auto" w:fill="auto"/>
            <w:noWrap/>
            <w:vAlign w:val="bottom"/>
            <w:hideMark/>
          </w:tcPr>
          <w:p w14:paraId="3DB0F8D5" w14:textId="77777777" w:rsidR="00A45E3D" w:rsidRPr="00A45E3D" w:rsidRDefault="00A45E3D" w:rsidP="00A45E3D">
            <w:pPr>
              <w:rPr>
                <w:rFonts w:ascii="Arial" w:hAnsi="Arial" w:cs="Arial"/>
                <w:sz w:val="27"/>
                <w:szCs w:val="27"/>
              </w:rPr>
            </w:pPr>
          </w:p>
        </w:tc>
        <w:tc>
          <w:tcPr>
            <w:tcW w:w="1934" w:type="dxa"/>
            <w:tcBorders>
              <w:top w:val="nil"/>
              <w:left w:val="nil"/>
              <w:bottom w:val="nil"/>
              <w:right w:val="nil"/>
            </w:tcBorders>
            <w:shd w:val="clear" w:color="auto" w:fill="auto"/>
            <w:noWrap/>
            <w:vAlign w:val="bottom"/>
            <w:hideMark/>
          </w:tcPr>
          <w:p w14:paraId="4946D4E7" w14:textId="77777777" w:rsidR="00A45E3D" w:rsidRPr="00A45E3D" w:rsidRDefault="00A45E3D" w:rsidP="00A45E3D">
            <w:pPr>
              <w:rPr>
                <w:rFonts w:ascii="Arial" w:hAnsi="Arial" w:cs="Arial"/>
                <w:sz w:val="27"/>
                <w:szCs w:val="27"/>
              </w:rPr>
            </w:pPr>
          </w:p>
        </w:tc>
        <w:tc>
          <w:tcPr>
            <w:tcW w:w="2040" w:type="dxa"/>
            <w:tcBorders>
              <w:top w:val="nil"/>
              <w:left w:val="nil"/>
              <w:bottom w:val="nil"/>
              <w:right w:val="nil"/>
            </w:tcBorders>
            <w:shd w:val="clear" w:color="auto" w:fill="auto"/>
            <w:noWrap/>
            <w:vAlign w:val="bottom"/>
            <w:hideMark/>
          </w:tcPr>
          <w:p w14:paraId="3D626D5F" w14:textId="77777777" w:rsidR="00A45E3D" w:rsidRPr="00A45E3D" w:rsidRDefault="00A45E3D" w:rsidP="00A45E3D">
            <w:pPr>
              <w:rPr>
                <w:rFonts w:ascii="Arial" w:hAnsi="Arial" w:cs="Arial"/>
              </w:rPr>
            </w:pPr>
          </w:p>
        </w:tc>
        <w:tc>
          <w:tcPr>
            <w:tcW w:w="2314" w:type="dxa"/>
            <w:tcBorders>
              <w:top w:val="nil"/>
              <w:left w:val="nil"/>
              <w:bottom w:val="nil"/>
              <w:right w:val="nil"/>
            </w:tcBorders>
            <w:shd w:val="clear" w:color="auto" w:fill="auto"/>
            <w:noWrap/>
            <w:vAlign w:val="bottom"/>
            <w:hideMark/>
          </w:tcPr>
          <w:p w14:paraId="040AABFC" w14:textId="77777777" w:rsidR="00A45E3D" w:rsidRPr="00A45E3D" w:rsidRDefault="00A45E3D" w:rsidP="00A45E3D">
            <w:pPr>
              <w:rPr>
                <w:rFonts w:ascii="Arial" w:hAnsi="Arial" w:cs="Arial"/>
              </w:rPr>
            </w:pPr>
          </w:p>
        </w:tc>
        <w:tc>
          <w:tcPr>
            <w:tcW w:w="1880" w:type="dxa"/>
            <w:tcBorders>
              <w:top w:val="nil"/>
              <w:left w:val="nil"/>
              <w:bottom w:val="nil"/>
              <w:right w:val="nil"/>
            </w:tcBorders>
            <w:shd w:val="clear" w:color="auto" w:fill="auto"/>
            <w:noWrap/>
            <w:vAlign w:val="bottom"/>
            <w:hideMark/>
          </w:tcPr>
          <w:p w14:paraId="28748730" w14:textId="77777777" w:rsidR="00A45E3D" w:rsidRPr="00A45E3D" w:rsidRDefault="00A45E3D" w:rsidP="00A45E3D">
            <w:pPr>
              <w:rPr>
                <w:rFonts w:ascii="Arial" w:hAnsi="Arial" w:cs="Arial"/>
              </w:rPr>
            </w:pPr>
          </w:p>
        </w:tc>
        <w:tc>
          <w:tcPr>
            <w:tcW w:w="2180" w:type="dxa"/>
            <w:tcBorders>
              <w:top w:val="nil"/>
              <w:left w:val="nil"/>
              <w:bottom w:val="nil"/>
              <w:right w:val="nil"/>
            </w:tcBorders>
            <w:shd w:val="clear" w:color="auto" w:fill="auto"/>
            <w:noWrap/>
            <w:vAlign w:val="bottom"/>
            <w:hideMark/>
          </w:tcPr>
          <w:p w14:paraId="19730F76" w14:textId="77777777" w:rsidR="00A45E3D" w:rsidRPr="00A45E3D" w:rsidRDefault="00A45E3D" w:rsidP="00A45E3D">
            <w:pPr>
              <w:rPr>
                <w:rFonts w:ascii="Arial" w:hAnsi="Arial" w:cs="Arial"/>
              </w:rPr>
            </w:pPr>
          </w:p>
        </w:tc>
      </w:tr>
      <w:tr w:rsidR="00A45E3D" w:rsidRPr="00A45E3D" w14:paraId="37F3EF2E" w14:textId="77777777" w:rsidTr="00A45E3D">
        <w:trPr>
          <w:trHeight w:val="340"/>
        </w:trPr>
        <w:tc>
          <w:tcPr>
            <w:tcW w:w="1118" w:type="dxa"/>
            <w:tcBorders>
              <w:top w:val="nil"/>
              <w:left w:val="nil"/>
              <w:bottom w:val="nil"/>
              <w:right w:val="nil"/>
            </w:tcBorders>
            <w:shd w:val="clear" w:color="auto" w:fill="auto"/>
            <w:noWrap/>
            <w:vAlign w:val="bottom"/>
            <w:hideMark/>
          </w:tcPr>
          <w:p w14:paraId="1794D193" w14:textId="77777777" w:rsidR="00A45E3D" w:rsidRPr="00A45E3D" w:rsidRDefault="00A45E3D" w:rsidP="00A45E3D">
            <w:pPr>
              <w:rPr>
                <w:rFonts w:ascii="Arial" w:hAnsi="Arial" w:cs="Arial"/>
                <w:sz w:val="27"/>
                <w:szCs w:val="27"/>
              </w:rPr>
            </w:pPr>
          </w:p>
        </w:tc>
        <w:tc>
          <w:tcPr>
            <w:tcW w:w="1934" w:type="dxa"/>
            <w:tcBorders>
              <w:top w:val="nil"/>
              <w:left w:val="nil"/>
              <w:bottom w:val="nil"/>
              <w:right w:val="nil"/>
            </w:tcBorders>
            <w:shd w:val="clear" w:color="auto" w:fill="auto"/>
            <w:noWrap/>
            <w:vAlign w:val="bottom"/>
            <w:hideMark/>
          </w:tcPr>
          <w:p w14:paraId="4338A0AF" w14:textId="77777777" w:rsidR="00A45E3D" w:rsidRPr="00A45E3D" w:rsidRDefault="00A45E3D" w:rsidP="00A45E3D">
            <w:pPr>
              <w:rPr>
                <w:rFonts w:ascii="Arial" w:hAnsi="Arial" w:cs="Arial"/>
                <w:sz w:val="27"/>
                <w:szCs w:val="27"/>
              </w:rPr>
            </w:pPr>
          </w:p>
        </w:tc>
        <w:tc>
          <w:tcPr>
            <w:tcW w:w="2040" w:type="dxa"/>
            <w:tcBorders>
              <w:top w:val="nil"/>
              <w:left w:val="nil"/>
              <w:bottom w:val="nil"/>
              <w:right w:val="nil"/>
            </w:tcBorders>
            <w:shd w:val="clear" w:color="auto" w:fill="auto"/>
            <w:noWrap/>
            <w:vAlign w:val="bottom"/>
            <w:hideMark/>
          </w:tcPr>
          <w:p w14:paraId="6E7940D3" w14:textId="77777777" w:rsidR="00A45E3D" w:rsidRPr="00A45E3D" w:rsidRDefault="00A45E3D" w:rsidP="00A45E3D">
            <w:pPr>
              <w:rPr>
                <w:rFonts w:ascii="Arial" w:hAnsi="Arial" w:cs="Arial"/>
              </w:rPr>
            </w:pPr>
          </w:p>
        </w:tc>
        <w:tc>
          <w:tcPr>
            <w:tcW w:w="2314" w:type="dxa"/>
            <w:tcBorders>
              <w:top w:val="nil"/>
              <w:left w:val="nil"/>
              <w:bottom w:val="nil"/>
              <w:right w:val="nil"/>
            </w:tcBorders>
            <w:shd w:val="clear" w:color="auto" w:fill="auto"/>
            <w:noWrap/>
            <w:vAlign w:val="bottom"/>
            <w:hideMark/>
          </w:tcPr>
          <w:p w14:paraId="3CB8C408" w14:textId="77777777" w:rsidR="00A45E3D" w:rsidRPr="00A45E3D" w:rsidRDefault="00A45E3D" w:rsidP="00A45E3D">
            <w:pPr>
              <w:rPr>
                <w:rFonts w:ascii="Arial" w:hAnsi="Arial" w:cs="Arial"/>
              </w:rPr>
            </w:pPr>
          </w:p>
        </w:tc>
        <w:tc>
          <w:tcPr>
            <w:tcW w:w="1880" w:type="dxa"/>
            <w:tcBorders>
              <w:top w:val="nil"/>
              <w:left w:val="nil"/>
              <w:bottom w:val="nil"/>
              <w:right w:val="nil"/>
            </w:tcBorders>
            <w:shd w:val="clear" w:color="auto" w:fill="auto"/>
            <w:noWrap/>
            <w:vAlign w:val="bottom"/>
            <w:hideMark/>
          </w:tcPr>
          <w:p w14:paraId="1745379B" w14:textId="77777777" w:rsidR="00A45E3D" w:rsidRPr="00A45E3D" w:rsidRDefault="00A45E3D" w:rsidP="00A45E3D">
            <w:pPr>
              <w:rPr>
                <w:rFonts w:ascii="Arial" w:hAnsi="Arial" w:cs="Arial"/>
              </w:rPr>
            </w:pPr>
          </w:p>
        </w:tc>
        <w:tc>
          <w:tcPr>
            <w:tcW w:w="2180" w:type="dxa"/>
            <w:tcBorders>
              <w:top w:val="nil"/>
              <w:left w:val="nil"/>
              <w:bottom w:val="nil"/>
              <w:right w:val="nil"/>
            </w:tcBorders>
            <w:shd w:val="clear" w:color="auto" w:fill="auto"/>
            <w:noWrap/>
            <w:vAlign w:val="bottom"/>
            <w:hideMark/>
          </w:tcPr>
          <w:p w14:paraId="557300D6" w14:textId="77777777" w:rsidR="00A45E3D" w:rsidRPr="00A45E3D" w:rsidRDefault="00A45E3D" w:rsidP="00A45E3D">
            <w:pPr>
              <w:rPr>
                <w:rFonts w:ascii="Arial" w:hAnsi="Arial" w:cs="Arial"/>
              </w:rPr>
            </w:pPr>
          </w:p>
        </w:tc>
      </w:tr>
      <w:tr w:rsidR="00A45E3D" w:rsidRPr="00A45E3D" w14:paraId="7115E7EF" w14:textId="77777777" w:rsidTr="00A45E3D">
        <w:trPr>
          <w:trHeight w:val="340"/>
        </w:trPr>
        <w:tc>
          <w:tcPr>
            <w:tcW w:w="1118" w:type="dxa"/>
            <w:tcBorders>
              <w:top w:val="nil"/>
              <w:left w:val="nil"/>
              <w:bottom w:val="nil"/>
              <w:right w:val="nil"/>
            </w:tcBorders>
            <w:shd w:val="clear" w:color="auto" w:fill="auto"/>
            <w:noWrap/>
            <w:vAlign w:val="bottom"/>
            <w:hideMark/>
          </w:tcPr>
          <w:p w14:paraId="242B7E98" w14:textId="77777777" w:rsidR="00A45E3D" w:rsidRPr="00A45E3D" w:rsidRDefault="00A45E3D" w:rsidP="00A45E3D">
            <w:pPr>
              <w:rPr>
                <w:rFonts w:ascii="Arial" w:hAnsi="Arial" w:cs="Arial"/>
                <w:sz w:val="27"/>
                <w:szCs w:val="27"/>
              </w:rPr>
            </w:pPr>
          </w:p>
        </w:tc>
        <w:tc>
          <w:tcPr>
            <w:tcW w:w="1934" w:type="dxa"/>
            <w:tcBorders>
              <w:top w:val="nil"/>
              <w:left w:val="nil"/>
              <w:bottom w:val="nil"/>
              <w:right w:val="nil"/>
            </w:tcBorders>
            <w:shd w:val="clear" w:color="auto" w:fill="auto"/>
            <w:noWrap/>
            <w:vAlign w:val="bottom"/>
            <w:hideMark/>
          </w:tcPr>
          <w:p w14:paraId="33A4609D" w14:textId="77777777" w:rsidR="00A45E3D" w:rsidRPr="00A45E3D" w:rsidRDefault="00A45E3D" w:rsidP="00A45E3D">
            <w:pPr>
              <w:rPr>
                <w:rFonts w:ascii="Arial" w:hAnsi="Arial" w:cs="Arial"/>
                <w:sz w:val="27"/>
                <w:szCs w:val="27"/>
              </w:rPr>
            </w:pPr>
          </w:p>
        </w:tc>
        <w:tc>
          <w:tcPr>
            <w:tcW w:w="2040" w:type="dxa"/>
            <w:tcBorders>
              <w:top w:val="single" w:sz="4" w:space="0" w:color="auto"/>
              <w:left w:val="single" w:sz="4" w:space="0" w:color="auto"/>
              <w:bottom w:val="nil"/>
              <w:right w:val="single" w:sz="4" w:space="0" w:color="auto"/>
            </w:tcBorders>
            <w:shd w:val="clear" w:color="000000" w:fill="FFFF99"/>
            <w:noWrap/>
            <w:vAlign w:val="bottom"/>
            <w:hideMark/>
          </w:tcPr>
          <w:p w14:paraId="441B473E" w14:textId="77777777" w:rsidR="00A45E3D" w:rsidRPr="00A45E3D" w:rsidRDefault="00A45E3D" w:rsidP="00A45E3D">
            <w:pPr>
              <w:jc w:val="center"/>
              <w:rPr>
                <w:rFonts w:ascii="Arial" w:hAnsi="Arial" w:cs="Arial"/>
                <w:b/>
                <w:bCs/>
              </w:rPr>
            </w:pPr>
            <w:r w:rsidRPr="00A45E3D">
              <w:rPr>
                <w:rFonts w:ascii="Arial" w:hAnsi="Arial" w:cs="Arial"/>
                <w:b/>
                <w:bCs/>
              </w:rPr>
              <w:t xml:space="preserve"> Schválený </w:t>
            </w:r>
          </w:p>
        </w:tc>
        <w:tc>
          <w:tcPr>
            <w:tcW w:w="2314" w:type="dxa"/>
            <w:tcBorders>
              <w:top w:val="single" w:sz="4" w:space="0" w:color="auto"/>
              <w:left w:val="nil"/>
              <w:bottom w:val="nil"/>
              <w:right w:val="single" w:sz="4" w:space="0" w:color="auto"/>
            </w:tcBorders>
            <w:shd w:val="clear" w:color="000000" w:fill="FFFF99"/>
            <w:noWrap/>
            <w:vAlign w:val="bottom"/>
            <w:hideMark/>
          </w:tcPr>
          <w:p w14:paraId="6588F80D" w14:textId="77777777" w:rsidR="00A45E3D" w:rsidRPr="00A45E3D" w:rsidRDefault="00A45E3D" w:rsidP="00A45E3D">
            <w:pPr>
              <w:jc w:val="center"/>
              <w:rPr>
                <w:rFonts w:ascii="Arial" w:hAnsi="Arial" w:cs="Arial"/>
                <w:b/>
                <w:bCs/>
              </w:rPr>
            </w:pPr>
            <w:r w:rsidRPr="00A45E3D">
              <w:rPr>
                <w:rFonts w:ascii="Arial" w:hAnsi="Arial" w:cs="Arial"/>
                <w:b/>
                <w:bCs/>
              </w:rPr>
              <w:t xml:space="preserve">  Upravený rozpočet </w:t>
            </w:r>
          </w:p>
        </w:tc>
        <w:tc>
          <w:tcPr>
            <w:tcW w:w="1880" w:type="dxa"/>
            <w:tcBorders>
              <w:top w:val="single" w:sz="4" w:space="0" w:color="auto"/>
              <w:left w:val="nil"/>
              <w:bottom w:val="nil"/>
              <w:right w:val="single" w:sz="4" w:space="0" w:color="auto"/>
            </w:tcBorders>
            <w:shd w:val="clear" w:color="000000" w:fill="FFFF99"/>
            <w:noWrap/>
            <w:vAlign w:val="bottom"/>
            <w:hideMark/>
          </w:tcPr>
          <w:p w14:paraId="52A10574" w14:textId="77777777" w:rsidR="00A45E3D" w:rsidRPr="00A45E3D" w:rsidRDefault="00A45E3D" w:rsidP="00A45E3D">
            <w:pPr>
              <w:jc w:val="center"/>
              <w:rPr>
                <w:rFonts w:ascii="Arial" w:hAnsi="Arial" w:cs="Arial"/>
                <w:b/>
                <w:bCs/>
              </w:rPr>
            </w:pPr>
            <w:r w:rsidRPr="00A45E3D">
              <w:rPr>
                <w:rFonts w:ascii="Arial" w:hAnsi="Arial" w:cs="Arial"/>
                <w:b/>
                <w:bCs/>
              </w:rPr>
              <w:t xml:space="preserve"> Návrh  </w:t>
            </w:r>
          </w:p>
        </w:tc>
        <w:tc>
          <w:tcPr>
            <w:tcW w:w="2180" w:type="dxa"/>
            <w:tcBorders>
              <w:top w:val="single" w:sz="4" w:space="0" w:color="auto"/>
              <w:left w:val="nil"/>
              <w:bottom w:val="nil"/>
              <w:right w:val="single" w:sz="4" w:space="0" w:color="auto"/>
            </w:tcBorders>
            <w:shd w:val="clear" w:color="000000" w:fill="FFFF99"/>
            <w:noWrap/>
            <w:vAlign w:val="bottom"/>
            <w:hideMark/>
          </w:tcPr>
          <w:p w14:paraId="065B2137" w14:textId="77777777" w:rsidR="00A45E3D" w:rsidRPr="00A45E3D" w:rsidRDefault="00A45E3D" w:rsidP="00A45E3D">
            <w:pPr>
              <w:jc w:val="center"/>
              <w:rPr>
                <w:rFonts w:ascii="Arial" w:hAnsi="Arial" w:cs="Arial"/>
                <w:b/>
                <w:bCs/>
              </w:rPr>
            </w:pPr>
            <w:r w:rsidRPr="00A45E3D">
              <w:rPr>
                <w:rFonts w:ascii="Arial" w:hAnsi="Arial" w:cs="Arial"/>
                <w:b/>
                <w:bCs/>
              </w:rPr>
              <w:t xml:space="preserve"> Návrh rozpočtu </w:t>
            </w:r>
          </w:p>
        </w:tc>
      </w:tr>
      <w:tr w:rsidR="00A45E3D" w:rsidRPr="00A45E3D" w14:paraId="29890DD7" w14:textId="77777777" w:rsidTr="00A45E3D">
        <w:trPr>
          <w:trHeight w:val="340"/>
        </w:trPr>
        <w:tc>
          <w:tcPr>
            <w:tcW w:w="1118" w:type="dxa"/>
            <w:tcBorders>
              <w:top w:val="nil"/>
              <w:left w:val="nil"/>
              <w:bottom w:val="nil"/>
              <w:right w:val="nil"/>
            </w:tcBorders>
            <w:shd w:val="clear" w:color="auto" w:fill="auto"/>
            <w:noWrap/>
            <w:vAlign w:val="bottom"/>
            <w:hideMark/>
          </w:tcPr>
          <w:p w14:paraId="706FBB6D" w14:textId="77777777" w:rsidR="00A45E3D" w:rsidRPr="00A45E3D" w:rsidRDefault="00A45E3D" w:rsidP="00A45E3D">
            <w:pPr>
              <w:rPr>
                <w:rFonts w:ascii="Arial" w:hAnsi="Arial" w:cs="Arial"/>
                <w:sz w:val="27"/>
                <w:szCs w:val="27"/>
              </w:rPr>
            </w:pPr>
          </w:p>
        </w:tc>
        <w:tc>
          <w:tcPr>
            <w:tcW w:w="1934" w:type="dxa"/>
            <w:tcBorders>
              <w:top w:val="nil"/>
              <w:left w:val="nil"/>
              <w:bottom w:val="nil"/>
              <w:right w:val="nil"/>
            </w:tcBorders>
            <w:shd w:val="clear" w:color="auto" w:fill="auto"/>
            <w:noWrap/>
            <w:vAlign w:val="bottom"/>
            <w:hideMark/>
          </w:tcPr>
          <w:p w14:paraId="09762B54" w14:textId="77777777" w:rsidR="00A45E3D" w:rsidRPr="00A45E3D" w:rsidRDefault="00A45E3D" w:rsidP="00A45E3D">
            <w:pPr>
              <w:rPr>
                <w:rFonts w:ascii="Arial" w:hAnsi="Arial" w:cs="Arial"/>
                <w:sz w:val="27"/>
                <w:szCs w:val="27"/>
              </w:rPr>
            </w:pPr>
          </w:p>
        </w:tc>
        <w:tc>
          <w:tcPr>
            <w:tcW w:w="2040" w:type="dxa"/>
            <w:tcBorders>
              <w:top w:val="nil"/>
              <w:left w:val="single" w:sz="4" w:space="0" w:color="auto"/>
              <w:bottom w:val="nil"/>
              <w:right w:val="single" w:sz="4" w:space="0" w:color="auto"/>
            </w:tcBorders>
            <w:shd w:val="clear" w:color="000000" w:fill="FFFF99"/>
            <w:noWrap/>
            <w:vAlign w:val="bottom"/>
            <w:hideMark/>
          </w:tcPr>
          <w:p w14:paraId="1568EA31" w14:textId="77777777" w:rsidR="00A45E3D" w:rsidRPr="00A45E3D" w:rsidRDefault="00A45E3D" w:rsidP="00A45E3D">
            <w:pPr>
              <w:jc w:val="center"/>
              <w:rPr>
                <w:rFonts w:ascii="Arial" w:hAnsi="Arial" w:cs="Arial"/>
                <w:b/>
                <w:bCs/>
              </w:rPr>
            </w:pPr>
            <w:r w:rsidRPr="00A45E3D">
              <w:rPr>
                <w:rFonts w:ascii="Arial" w:hAnsi="Arial" w:cs="Arial"/>
                <w:b/>
                <w:bCs/>
              </w:rPr>
              <w:t xml:space="preserve"> rozpočet </w:t>
            </w:r>
          </w:p>
        </w:tc>
        <w:tc>
          <w:tcPr>
            <w:tcW w:w="2314" w:type="dxa"/>
            <w:tcBorders>
              <w:top w:val="nil"/>
              <w:left w:val="nil"/>
              <w:bottom w:val="nil"/>
              <w:right w:val="single" w:sz="4" w:space="0" w:color="auto"/>
            </w:tcBorders>
            <w:shd w:val="clear" w:color="000000" w:fill="FFFF99"/>
            <w:noWrap/>
            <w:vAlign w:val="bottom"/>
            <w:hideMark/>
          </w:tcPr>
          <w:p w14:paraId="74ED27E0" w14:textId="77777777" w:rsidR="00A45E3D" w:rsidRPr="00A45E3D" w:rsidRDefault="00A45E3D" w:rsidP="00A45E3D">
            <w:pPr>
              <w:jc w:val="center"/>
              <w:rPr>
                <w:rFonts w:ascii="Arial" w:hAnsi="Arial" w:cs="Arial"/>
                <w:b/>
                <w:bCs/>
              </w:rPr>
            </w:pPr>
            <w:r w:rsidRPr="00A45E3D">
              <w:rPr>
                <w:rFonts w:ascii="Arial" w:hAnsi="Arial" w:cs="Arial"/>
                <w:b/>
                <w:bCs/>
              </w:rPr>
              <w:t xml:space="preserve"> po zapracovaní </w:t>
            </w:r>
          </w:p>
        </w:tc>
        <w:tc>
          <w:tcPr>
            <w:tcW w:w="1880" w:type="dxa"/>
            <w:tcBorders>
              <w:top w:val="nil"/>
              <w:left w:val="nil"/>
              <w:bottom w:val="nil"/>
              <w:right w:val="single" w:sz="4" w:space="0" w:color="auto"/>
            </w:tcBorders>
            <w:shd w:val="clear" w:color="000000" w:fill="FFFF99"/>
            <w:noWrap/>
            <w:vAlign w:val="bottom"/>
            <w:hideMark/>
          </w:tcPr>
          <w:p w14:paraId="491FA08E" w14:textId="77777777" w:rsidR="00A45E3D" w:rsidRPr="00A45E3D" w:rsidRDefault="00A45E3D" w:rsidP="00A45E3D">
            <w:pPr>
              <w:jc w:val="center"/>
              <w:rPr>
                <w:rFonts w:ascii="Arial" w:hAnsi="Arial" w:cs="Arial"/>
                <w:b/>
                <w:bCs/>
              </w:rPr>
            </w:pPr>
            <w:r w:rsidRPr="00A45E3D">
              <w:rPr>
                <w:rFonts w:ascii="Arial" w:hAnsi="Arial" w:cs="Arial"/>
                <w:b/>
                <w:bCs/>
              </w:rPr>
              <w:t xml:space="preserve"> na III. zmenu </w:t>
            </w:r>
          </w:p>
        </w:tc>
        <w:tc>
          <w:tcPr>
            <w:tcW w:w="2180" w:type="dxa"/>
            <w:tcBorders>
              <w:top w:val="nil"/>
              <w:left w:val="nil"/>
              <w:bottom w:val="nil"/>
              <w:right w:val="single" w:sz="4" w:space="0" w:color="auto"/>
            </w:tcBorders>
            <w:shd w:val="clear" w:color="000000" w:fill="FFFF99"/>
            <w:noWrap/>
            <w:vAlign w:val="bottom"/>
            <w:hideMark/>
          </w:tcPr>
          <w:p w14:paraId="5D5F3BE1" w14:textId="77777777" w:rsidR="00A45E3D" w:rsidRPr="00A45E3D" w:rsidRDefault="00A45E3D" w:rsidP="00A45E3D">
            <w:pPr>
              <w:jc w:val="center"/>
              <w:rPr>
                <w:rFonts w:ascii="Arial" w:hAnsi="Arial" w:cs="Arial"/>
                <w:b/>
                <w:bCs/>
              </w:rPr>
            </w:pPr>
            <w:r w:rsidRPr="00A45E3D">
              <w:rPr>
                <w:rFonts w:ascii="Arial" w:hAnsi="Arial" w:cs="Arial"/>
                <w:b/>
                <w:bCs/>
              </w:rPr>
              <w:t xml:space="preserve"> po úprave </w:t>
            </w:r>
          </w:p>
        </w:tc>
      </w:tr>
      <w:tr w:rsidR="00A45E3D" w:rsidRPr="00A45E3D" w14:paraId="6D3454E1" w14:textId="77777777" w:rsidTr="00A45E3D">
        <w:trPr>
          <w:trHeight w:val="340"/>
        </w:trPr>
        <w:tc>
          <w:tcPr>
            <w:tcW w:w="1118" w:type="dxa"/>
            <w:tcBorders>
              <w:top w:val="nil"/>
              <w:left w:val="nil"/>
              <w:bottom w:val="nil"/>
              <w:right w:val="nil"/>
            </w:tcBorders>
            <w:shd w:val="clear" w:color="auto" w:fill="auto"/>
            <w:noWrap/>
            <w:vAlign w:val="bottom"/>
            <w:hideMark/>
          </w:tcPr>
          <w:p w14:paraId="09E4C88D" w14:textId="77777777" w:rsidR="00A45E3D" w:rsidRPr="00A45E3D" w:rsidRDefault="00A45E3D" w:rsidP="00A45E3D">
            <w:pPr>
              <w:rPr>
                <w:rFonts w:ascii="Arial" w:hAnsi="Arial" w:cs="Arial"/>
                <w:sz w:val="27"/>
                <w:szCs w:val="27"/>
              </w:rPr>
            </w:pPr>
          </w:p>
        </w:tc>
        <w:tc>
          <w:tcPr>
            <w:tcW w:w="1934" w:type="dxa"/>
            <w:tcBorders>
              <w:top w:val="nil"/>
              <w:left w:val="nil"/>
              <w:bottom w:val="nil"/>
              <w:right w:val="nil"/>
            </w:tcBorders>
            <w:shd w:val="clear" w:color="auto" w:fill="auto"/>
            <w:noWrap/>
            <w:vAlign w:val="bottom"/>
            <w:hideMark/>
          </w:tcPr>
          <w:p w14:paraId="28EE7BBA" w14:textId="77777777" w:rsidR="00A45E3D" w:rsidRPr="00A45E3D" w:rsidRDefault="00A45E3D" w:rsidP="00A45E3D">
            <w:pPr>
              <w:rPr>
                <w:rFonts w:ascii="Arial" w:hAnsi="Arial" w:cs="Arial"/>
                <w:sz w:val="27"/>
                <w:szCs w:val="27"/>
              </w:rPr>
            </w:pPr>
          </w:p>
        </w:tc>
        <w:tc>
          <w:tcPr>
            <w:tcW w:w="2040" w:type="dxa"/>
            <w:tcBorders>
              <w:top w:val="nil"/>
              <w:left w:val="single" w:sz="4" w:space="0" w:color="auto"/>
              <w:bottom w:val="single" w:sz="4" w:space="0" w:color="auto"/>
              <w:right w:val="single" w:sz="4" w:space="0" w:color="auto"/>
            </w:tcBorders>
            <w:shd w:val="clear" w:color="000000" w:fill="FFFF99"/>
            <w:noWrap/>
            <w:vAlign w:val="bottom"/>
            <w:hideMark/>
          </w:tcPr>
          <w:p w14:paraId="600D5261" w14:textId="77777777" w:rsidR="00A45E3D" w:rsidRPr="00A45E3D" w:rsidRDefault="00A45E3D" w:rsidP="00A45E3D">
            <w:pPr>
              <w:jc w:val="center"/>
              <w:rPr>
                <w:rFonts w:ascii="Arial" w:hAnsi="Arial" w:cs="Arial"/>
                <w:b/>
                <w:bCs/>
              </w:rPr>
            </w:pPr>
            <w:r w:rsidRPr="00A45E3D">
              <w:rPr>
                <w:rFonts w:ascii="Arial" w:hAnsi="Arial" w:cs="Arial"/>
                <w:b/>
                <w:bCs/>
              </w:rPr>
              <w:t xml:space="preserve"> na rok 2021 </w:t>
            </w:r>
          </w:p>
        </w:tc>
        <w:tc>
          <w:tcPr>
            <w:tcW w:w="2314" w:type="dxa"/>
            <w:tcBorders>
              <w:top w:val="nil"/>
              <w:left w:val="nil"/>
              <w:bottom w:val="single" w:sz="4" w:space="0" w:color="auto"/>
              <w:right w:val="single" w:sz="4" w:space="0" w:color="auto"/>
            </w:tcBorders>
            <w:shd w:val="clear" w:color="000000" w:fill="FFFF99"/>
            <w:noWrap/>
            <w:vAlign w:val="bottom"/>
            <w:hideMark/>
          </w:tcPr>
          <w:p w14:paraId="7A1E3BD6" w14:textId="77777777" w:rsidR="00A45E3D" w:rsidRPr="00A45E3D" w:rsidRDefault="00A45E3D" w:rsidP="00A45E3D">
            <w:pPr>
              <w:jc w:val="center"/>
              <w:rPr>
                <w:rFonts w:ascii="Arial" w:hAnsi="Arial" w:cs="Arial"/>
                <w:b/>
                <w:bCs/>
              </w:rPr>
            </w:pPr>
            <w:r w:rsidRPr="00A45E3D">
              <w:rPr>
                <w:rFonts w:ascii="Arial" w:hAnsi="Arial" w:cs="Arial"/>
                <w:b/>
                <w:bCs/>
              </w:rPr>
              <w:t xml:space="preserve"> I. a II. zmeny </w:t>
            </w:r>
            <w:proofErr w:type="spellStart"/>
            <w:r w:rsidRPr="00A45E3D">
              <w:rPr>
                <w:rFonts w:ascii="Arial" w:hAnsi="Arial" w:cs="Arial"/>
                <w:b/>
                <w:bCs/>
              </w:rPr>
              <w:t>rozp</w:t>
            </w:r>
            <w:proofErr w:type="spellEnd"/>
            <w:r w:rsidRPr="00A45E3D">
              <w:rPr>
                <w:rFonts w:ascii="Arial" w:hAnsi="Arial" w:cs="Arial"/>
                <w:b/>
                <w:bCs/>
              </w:rPr>
              <w:t xml:space="preserve">. </w:t>
            </w:r>
          </w:p>
        </w:tc>
        <w:tc>
          <w:tcPr>
            <w:tcW w:w="1880" w:type="dxa"/>
            <w:tcBorders>
              <w:top w:val="nil"/>
              <w:left w:val="nil"/>
              <w:bottom w:val="single" w:sz="4" w:space="0" w:color="auto"/>
              <w:right w:val="single" w:sz="4" w:space="0" w:color="auto"/>
            </w:tcBorders>
            <w:shd w:val="clear" w:color="000000" w:fill="FFFF99"/>
            <w:noWrap/>
            <w:vAlign w:val="bottom"/>
            <w:hideMark/>
          </w:tcPr>
          <w:p w14:paraId="74EA7075" w14:textId="77777777" w:rsidR="00A45E3D" w:rsidRPr="00A45E3D" w:rsidRDefault="00A45E3D" w:rsidP="00A45E3D">
            <w:pPr>
              <w:jc w:val="center"/>
              <w:rPr>
                <w:rFonts w:ascii="Arial" w:hAnsi="Arial" w:cs="Arial"/>
                <w:b/>
                <w:bCs/>
              </w:rPr>
            </w:pPr>
            <w:r w:rsidRPr="00A45E3D">
              <w:rPr>
                <w:rFonts w:ascii="Arial" w:hAnsi="Arial" w:cs="Arial"/>
                <w:b/>
                <w:bCs/>
              </w:rPr>
              <w:t xml:space="preserve"> rozpočtu </w:t>
            </w:r>
          </w:p>
        </w:tc>
        <w:tc>
          <w:tcPr>
            <w:tcW w:w="2180" w:type="dxa"/>
            <w:tcBorders>
              <w:top w:val="nil"/>
              <w:left w:val="nil"/>
              <w:bottom w:val="single" w:sz="4" w:space="0" w:color="auto"/>
              <w:right w:val="single" w:sz="4" w:space="0" w:color="auto"/>
            </w:tcBorders>
            <w:shd w:val="clear" w:color="000000" w:fill="FFFF99"/>
            <w:noWrap/>
            <w:vAlign w:val="bottom"/>
            <w:hideMark/>
          </w:tcPr>
          <w:p w14:paraId="60E9321C" w14:textId="77777777" w:rsidR="00A45E3D" w:rsidRPr="00A45E3D" w:rsidRDefault="00A45E3D" w:rsidP="00A45E3D">
            <w:pPr>
              <w:jc w:val="center"/>
              <w:rPr>
                <w:rFonts w:ascii="Arial" w:hAnsi="Arial" w:cs="Arial"/>
                <w:b/>
                <w:bCs/>
              </w:rPr>
            </w:pPr>
            <w:r w:rsidRPr="00A45E3D">
              <w:rPr>
                <w:rFonts w:ascii="Arial" w:hAnsi="Arial" w:cs="Arial"/>
                <w:b/>
                <w:bCs/>
              </w:rPr>
              <w:t> </w:t>
            </w:r>
          </w:p>
        </w:tc>
      </w:tr>
      <w:tr w:rsidR="00A45E3D" w:rsidRPr="00A45E3D" w14:paraId="349180B2" w14:textId="77777777" w:rsidTr="00A45E3D">
        <w:trPr>
          <w:trHeight w:val="340"/>
        </w:trPr>
        <w:tc>
          <w:tcPr>
            <w:tcW w:w="305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BA92D7C" w14:textId="77777777" w:rsidR="00A45E3D" w:rsidRPr="00A45E3D" w:rsidRDefault="00A45E3D" w:rsidP="00A45E3D">
            <w:pPr>
              <w:jc w:val="center"/>
              <w:rPr>
                <w:rFonts w:ascii="Arial" w:hAnsi="Arial" w:cs="Arial"/>
                <w:sz w:val="27"/>
                <w:szCs w:val="27"/>
              </w:rPr>
            </w:pPr>
            <w:r w:rsidRPr="00A45E3D">
              <w:rPr>
                <w:rFonts w:ascii="Arial" w:hAnsi="Arial" w:cs="Arial"/>
                <w:sz w:val="27"/>
                <w:szCs w:val="27"/>
              </w:rPr>
              <w:t>BEŽNÉ VÝDAVKY</w:t>
            </w:r>
          </w:p>
        </w:tc>
        <w:tc>
          <w:tcPr>
            <w:tcW w:w="2040" w:type="dxa"/>
            <w:tcBorders>
              <w:top w:val="nil"/>
              <w:left w:val="nil"/>
              <w:bottom w:val="single" w:sz="4" w:space="0" w:color="auto"/>
              <w:right w:val="single" w:sz="4" w:space="0" w:color="auto"/>
            </w:tcBorders>
            <w:shd w:val="clear" w:color="000000" w:fill="FFFFFF"/>
            <w:noWrap/>
            <w:vAlign w:val="bottom"/>
            <w:hideMark/>
          </w:tcPr>
          <w:p w14:paraId="74429754" w14:textId="77777777" w:rsidR="00A45E3D" w:rsidRPr="00A45E3D" w:rsidRDefault="00A45E3D" w:rsidP="00A45E3D">
            <w:pPr>
              <w:rPr>
                <w:rFonts w:ascii="Arial" w:hAnsi="Arial" w:cs="Arial"/>
              </w:rPr>
            </w:pPr>
            <w:r w:rsidRPr="00A45E3D">
              <w:rPr>
                <w:rFonts w:ascii="Arial" w:hAnsi="Arial" w:cs="Arial"/>
              </w:rPr>
              <w:t xml:space="preserve">  10 207 353,00 € </w:t>
            </w:r>
          </w:p>
        </w:tc>
        <w:tc>
          <w:tcPr>
            <w:tcW w:w="2314" w:type="dxa"/>
            <w:tcBorders>
              <w:top w:val="nil"/>
              <w:left w:val="nil"/>
              <w:bottom w:val="single" w:sz="4" w:space="0" w:color="auto"/>
              <w:right w:val="single" w:sz="4" w:space="0" w:color="auto"/>
            </w:tcBorders>
            <w:shd w:val="clear" w:color="auto" w:fill="auto"/>
            <w:noWrap/>
            <w:vAlign w:val="bottom"/>
            <w:hideMark/>
          </w:tcPr>
          <w:p w14:paraId="39B474F1" w14:textId="77777777" w:rsidR="00A45E3D" w:rsidRPr="00A45E3D" w:rsidRDefault="00A45E3D" w:rsidP="00A45E3D">
            <w:pPr>
              <w:rPr>
                <w:rFonts w:ascii="Arial" w:hAnsi="Arial" w:cs="Arial"/>
              </w:rPr>
            </w:pPr>
            <w:r w:rsidRPr="00A45E3D">
              <w:rPr>
                <w:rFonts w:ascii="Arial" w:hAnsi="Arial" w:cs="Arial"/>
              </w:rPr>
              <w:t xml:space="preserve">   10 297 353,00 € </w:t>
            </w:r>
          </w:p>
        </w:tc>
        <w:tc>
          <w:tcPr>
            <w:tcW w:w="1880" w:type="dxa"/>
            <w:tcBorders>
              <w:top w:val="nil"/>
              <w:left w:val="nil"/>
              <w:bottom w:val="single" w:sz="4" w:space="0" w:color="auto"/>
              <w:right w:val="single" w:sz="4" w:space="0" w:color="auto"/>
            </w:tcBorders>
            <w:shd w:val="clear" w:color="auto" w:fill="auto"/>
            <w:noWrap/>
            <w:vAlign w:val="bottom"/>
            <w:hideMark/>
          </w:tcPr>
          <w:p w14:paraId="5AF70C1A" w14:textId="7AEB9C66" w:rsidR="00A45E3D" w:rsidRPr="00E66482" w:rsidRDefault="00E66482" w:rsidP="00A45E3D">
            <w:pPr>
              <w:rPr>
                <w:rFonts w:ascii="Arial" w:hAnsi="Arial" w:cs="Arial"/>
                <w:color w:val="000000" w:themeColor="text1"/>
              </w:rPr>
            </w:pPr>
            <w:r w:rsidRPr="00E66482">
              <w:rPr>
                <w:rFonts w:ascii="Arial" w:hAnsi="Arial" w:cs="Arial"/>
                <w:color w:val="000000" w:themeColor="text1"/>
              </w:rPr>
              <w:t xml:space="preserve">                  -    </w:t>
            </w:r>
            <w:r w:rsidR="00A45E3D" w:rsidRPr="00E66482">
              <w:rPr>
                <w:rFonts w:ascii="Arial" w:hAnsi="Arial" w:cs="Arial"/>
                <w:color w:val="000000" w:themeColor="text1"/>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52983762" w14:textId="1A2298FE" w:rsidR="00A45E3D" w:rsidRPr="00E66482" w:rsidRDefault="00A45E3D" w:rsidP="00A45E3D">
            <w:pPr>
              <w:rPr>
                <w:rFonts w:ascii="Arial" w:hAnsi="Arial" w:cs="Arial"/>
                <w:color w:val="000000" w:themeColor="text1"/>
              </w:rPr>
            </w:pPr>
            <w:r w:rsidRPr="00E66482">
              <w:rPr>
                <w:rFonts w:ascii="Arial" w:hAnsi="Arial" w:cs="Arial"/>
                <w:color w:val="000000" w:themeColor="text1"/>
              </w:rPr>
              <w:t xml:space="preserve">    10 29</w:t>
            </w:r>
            <w:r w:rsidR="00E66482" w:rsidRPr="00E66482">
              <w:rPr>
                <w:rFonts w:ascii="Arial" w:hAnsi="Arial" w:cs="Arial"/>
                <w:color w:val="000000" w:themeColor="text1"/>
              </w:rPr>
              <w:t>7</w:t>
            </w:r>
            <w:r w:rsidRPr="00E66482">
              <w:rPr>
                <w:rFonts w:ascii="Arial" w:hAnsi="Arial" w:cs="Arial"/>
                <w:color w:val="000000" w:themeColor="text1"/>
              </w:rPr>
              <w:t xml:space="preserve"> </w:t>
            </w:r>
            <w:r w:rsidR="00E66482" w:rsidRPr="00E66482">
              <w:rPr>
                <w:rFonts w:ascii="Arial" w:hAnsi="Arial" w:cs="Arial"/>
                <w:color w:val="000000" w:themeColor="text1"/>
              </w:rPr>
              <w:t>3</w:t>
            </w:r>
            <w:r w:rsidRPr="00E66482">
              <w:rPr>
                <w:rFonts w:ascii="Arial" w:hAnsi="Arial" w:cs="Arial"/>
                <w:color w:val="000000" w:themeColor="text1"/>
              </w:rPr>
              <w:t xml:space="preserve">53,00 € </w:t>
            </w:r>
          </w:p>
        </w:tc>
      </w:tr>
      <w:tr w:rsidR="00A45E3D" w:rsidRPr="00A45E3D" w14:paraId="5A4C3F8E" w14:textId="77777777" w:rsidTr="00A45E3D">
        <w:trPr>
          <w:trHeight w:val="340"/>
        </w:trPr>
        <w:tc>
          <w:tcPr>
            <w:tcW w:w="3052" w:type="dxa"/>
            <w:gridSpan w:val="2"/>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D02FB30" w14:textId="77777777" w:rsidR="00A45E3D" w:rsidRPr="00A45E3D" w:rsidRDefault="00A45E3D" w:rsidP="00A45E3D">
            <w:pPr>
              <w:jc w:val="center"/>
              <w:rPr>
                <w:rFonts w:ascii="Arial" w:hAnsi="Arial" w:cs="Arial"/>
                <w:sz w:val="27"/>
                <w:szCs w:val="27"/>
              </w:rPr>
            </w:pPr>
            <w:r w:rsidRPr="00A45E3D">
              <w:rPr>
                <w:rFonts w:ascii="Arial" w:hAnsi="Arial" w:cs="Arial"/>
                <w:sz w:val="27"/>
                <w:szCs w:val="27"/>
              </w:rPr>
              <w:t>KAPITÁLOVÉ VÝDAVKY</w:t>
            </w:r>
          </w:p>
        </w:tc>
        <w:tc>
          <w:tcPr>
            <w:tcW w:w="2040" w:type="dxa"/>
            <w:tcBorders>
              <w:top w:val="nil"/>
              <w:left w:val="nil"/>
              <w:bottom w:val="single" w:sz="4" w:space="0" w:color="auto"/>
              <w:right w:val="single" w:sz="4" w:space="0" w:color="auto"/>
            </w:tcBorders>
            <w:shd w:val="clear" w:color="auto" w:fill="auto"/>
            <w:noWrap/>
            <w:vAlign w:val="bottom"/>
            <w:hideMark/>
          </w:tcPr>
          <w:p w14:paraId="066B4811" w14:textId="77777777" w:rsidR="00A45E3D" w:rsidRPr="00A45E3D" w:rsidRDefault="00A45E3D" w:rsidP="00A45E3D">
            <w:pPr>
              <w:rPr>
                <w:rFonts w:ascii="Arial" w:hAnsi="Arial" w:cs="Arial"/>
              </w:rPr>
            </w:pPr>
            <w:r w:rsidRPr="00A45E3D">
              <w:rPr>
                <w:rFonts w:ascii="Arial" w:hAnsi="Arial" w:cs="Arial"/>
              </w:rPr>
              <w:t xml:space="preserve">       393 044,00 € </w:t>
            </w:r>
          </w:p>
        </w:tc>
        <w:tc>
          <w:tcPr>
            <w:tcW w:w="2314" w:type="dxa"/>
            <w:tcBorders>
              <w:top w:val="nil"/>
              <w:left w:val="nil"/>
              <w:bottom w:val="single" w:sz="4" w:space="0" w:color="auto"/>
              <w:right w:val="single" w:sz="4" w:space="0" w:color="auto"/>
            </w:tcBorders>
            <w:shd w:val="clear" w:color="auto" w:fill="auto"/>
            <w:noWrap/>
            <w:vAlign w:val="bottom"/>
            <w:hideMark/>
          </w:tcPr>
          <w:p w14:paraId="5CB86FAB" w14:textId="77777777" w:rsidR="00A45E3D" w:rsidRPr="00A45E3D" w:rsidRDefault="00A45E3D" w:rsidP="00A45E3D">
            <w:pPr>
              <w:rPr>
                <w:rFonts w:ascii="Arial" w:hAnsi="Arial" w:cs="Arial"/>
              </w:rPr>
            </w:pPr>
            <w:r w:rsidRPr="00A45E3D">
              <w:rPr>
                <w:rFonts w:ascii="Arial" w:hAnsi="Arial" w:cs="Arial"/>
              </w:rPr>
              <w:t xml:space="preserve">        508 652,00 € </w:t>
            </w:r>
          </w:p>
        </w:tc>
        <w:tc>
          <w:tcPr>
            <w:tcW w:w="1880" w:type="dxa"/>
            <w:tcBorders>
              <w:top w:val="nil"/>
              <w:left w:val="nil"/>
              <w:bottom w:val="single" w:sz="4" w:space="0" w:color="auto"/>
              <w:right w:val="single" w:sz="4" w:space="0" w:color="auto"/>
            </w:tcBorders>
            <w:shd w:val="clear" w:color="auto" w:fill="auto"/>
            <w:noWrap/>
            <w:vAlign w:val="bottom"/>
            <w:hideMark/>
          </w:tcPr>
          <w:p w14:paraId="2AA0D581" w14:textId="3BE0EA78" w:rsidR="00A45E3D" w:rsidRPr="00A45E3D" w:rsidRDefault="00A45E3D" w:rsidP="00A45E3D">
            <w:pPr>
              <w:rPr>
                <w:rFonts w:ascii="Arial" w:hAnsi="Arial" w:cs="Arial"/>
                <w:color w:val="FF0000"/>
              </w:rPr>
            </w:pPr>
            <w:r w:rsidRPr="00A45E3D">
              <w:rPr>
                <w:rFonts w:ascii="Arial" w:hAnsi="Arial" w:cs="Arial"/>
                <w:color w:val="FF0000"/>
              </w:rPr>
              <w:t xml:space="preserve">    1</w:t>
            </w:r>
            <w:r w:rsidR="00F7146D">
              <w:rPr>
                <w:rFonts w:ascii="Arial" w:hAnsi="Arial" w:cs="Arial"/>
                <w:color w:val="FF0000"/>
              </w:rPr>
              <w:t>03</w:t>
            </w:r>
            <w:r w:rsidRPr="00A45E3D">
              <w:rPr>
                <w:rFonts w:ascii="Arial" w:hAnsi="Arial" w:cs="Arial"/>
                <w:color w:val="FF0000"/>
              </w:rPr>
              <w:t xml:space="preserve"> 500,00 € </w:t>
            </w:r>
          </w:p>
        </w:tc>
        <w:tc>
          <w:tcPr>
            <w:tcW w:w="2180" w:type="dxa"/>
            <w:tcBorders>
              <w:top w:val="nil"/>
              <w:left w:val="nil"/>
              <w:bottom w:val="single" w:sz="4" w:space="0" w:color="auto"/>
              <w:right w:val="single" w:sz="4" w:space="0" w:color="auto"/>
            </w:tcBorders>
            <w:shd w:val="clear" w:color="auto" w:fill="auto"/>
            <w:noWrap/>
            <w:vAlign w:val="bottom"/>
            <w:hideMark/>
          </w:tcPr>
          <w:p w14:paraId="772B7C4B" w14:textId="32F3DF86" w:rsidR="00A45E3D" w:rsidRPr="00A45E3D" w:rsidRDefault="00A45E3D" w:rsidP="00A45E3D">
            <w:pPr>
              <w:rPr>
                <w:rFonts w:ascii="Arial" w:hAnsi="Arial" w:cs="Arial"/>
                <w:color w:val="FF0000"/>
              </w:rPr>
            </w:pPr>
            <w:r w:rsidRPr="00A45E3D">
              <w:rPr>
                <w:rFonts w:ascii="Arial" w:hAnsi="Arial" w:cs="Arial"/>
                <w:color w:val="FF0000"/>
              </w:rPr>
              <w:t xml:space="preserve">         </w:t>
            </w:r>
            <w:r w:rsidR="00F7146D">
              <w:rPr>
                <w:rFonts w:ascii="Arial" w:hAnsi="Arial" w:cs="Arial"/>
                <w:color w:val="FF0000"/>
              </w:rPr>
              <w:t>612 152</w:t>
            </w:r>
            <w:r w:rsidRPr="00A45E3D">
              <w:rPr>
                <w:rFonts w:ascii="Arial" w:hAnsi="Arial" w:cs="Arial"/>
                <w:color w:val="FF0000"/>
              </w:rPr>
              <w:t xml:space="preserve">,00 € </w:t>
            </w:r>
          </w:p>
        </w:tc>
      </w:tr>
      <w:tr w:rsidR="00A45E3D" w:rsidRPr="00A45E3D" w14:paraId="1765D2FF" w14:textId="77777777" w:rsidTr="00A45E3D">
        <w:trPr>
          <w:trHeight w:val="340"/>
        </w:trPr>
        <w:tc>
          <w:tcPr>
            <w:tcW w:w="305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A2F2399" w14:textId="77777777" w:rsidR="00A45E3D" w:rsidRPr="00A45E3D" w:rsidRDefault="00A45E3D" w:rsidP="00A45E3D">
            <w:pPr>
              <w:jc w:val="center"/>
              <w:rPr>
                <w:rFonts w:ascii="Arial" w:hAnsi="Arial" w:cs="Arial"/>
                <w:sz w:val="27"/>
                <w:szCs w:val="27"/>
              </w:rPr>
            </w:pPr>
            <w:r w:rsidRPr="00A45E3D">
              <w:rPr>
                <w:rFonts w:ascii="Arial" w:hAnsi="Arial" w:cs="Arial"/>
                <w:sz w:val="27"/>
                <w:szCs w:val="27"/>
              </w:rPr>
              <w:t>FINANČNÉ OPERÁCIE</w:t>
            </w:r>
          </w:p>
        </w:tc>
        <w:tc>
          <w:tcPr>
            <w:tcW w:w="2040" w:type="dxa"/>
            <w:tcBorders>
              <w:top w:val="nil"/>
              <w:left w:val="nil"/>
              <w:bottom w:val="single" w:sz="4" w:space="0" w:color="auto"/>
              <w:right w:val="single" w:sz="4" w:space="0" w:color="auto"/>
            </w:tcBorders>
            <w:shd w:val="clear" w:color="auto" w:fill="auto"/>
            <w:noWrap/>
            <w:vAlign w:val="bottom"/>
            <w:hideMark/>
          </w:tcPr>
          <w:p w14:paraId="3D756578" w14:textId="77777777" w:rsidR="00A45E3D" w:rsidRPr="00A45E3D" w:rsidRDefault="00A45E3D" w:rsidP="00A45E3D">
            <w:pPr>
              <w:rPr>
                <w:rFonts w:ascii="Arial" w:hAnsi="Arial" w:cs="Arial"/>
              </w:rPr>
            </w:pPr>
            <w:r w:rsidRPr="00A45E3D">
              <w:rPr>
                <w:rFonts w:ascii="Arial" w:hAnsi="Arial" w:cs="Arial"/>
              </w:rPr>
              <w:t xml:space="preserve">        20 753,00 € </w:t>
            </w:r>
          </w:p>
        </w:tc>
        <w:tc>
          <w:tcPr>
            <w:tcW w:w="2314" w:type="dxa"/>
            <w:tcBorders>
              <w:top w:val="nil"/>
              <w:left w:val="nil"/>
              <w:bottom w:val="single" w:sz="4" w:space="0" w:color="auto"/>
              <w:right w:val="single" w:sz="4" w:space="0" w:color="auto"/>
            </w:tcBorders>
            <w:shd w:val="clear" w:color="auto" w:fill="auto"/>
            <w:noWrap/>
            <w:vAlign w:val="bottom"/>
            <w:hideMark/>
          </w:tcPr>
          <w:p w14:paraId="5BC291F8" w14:textId="77777777" w:rsidR="00A45E3D" w:rsidRPr="00A45E3D" w:rsidRDefault="00A45E3D" w:rsidP="00A45E3D">
            <w:pPr>
              <w:rPr>
                <w:rFonts w:ascii="Arial" w:hAnsi="Arial" w:cs="Arial"/>
              </w:rPr>
            </w:pPr>
            <w:r w:rsidRPr="00A45E3D">
              <w:rPr>
                <w:rFonts w:ascii="Arial" w:hAnsi="Arial" w:cs="Arial"/>
              </w:rPr>
              <w:t xml:space="preserve">         20 753,00 € </w:t>
            </w:r>
          </w:p>
        </w:tc>
        <w:tc>
          <w:tcPr>
            <w:tcW w:w="1880" w:type="dxa"/>
            <w:tcBorders>
              <w:top w:val="nil"/>
              <w:left w:val="nil"/>
              <w:bottom w:val="single" w:sz="4" w:space="0" w:color="auto"/>
              <w:right w:val="single" w:sz="4" w:space="0" w:color="auto"/>
            </w:tcBorders>
            <w:shd w:val="clear" w:color="auto" w:fill="auto"/>
            <w:noWrap/>
            <w:vAlign w:val="bottom"/>
            <w:hideMark/>
          </w:tcPr>
          <w:p w14:paraId="5266CE14" w14:textId="77777777" w:rsidR="00A45E3D" w:rsidRPr="00A45E3D" w:rsidRDefault="00A45E3D" w:rsidP="00A45E3D">
            <w:pPr>
              <w:rPr>
                <w:rFonts w:ascii="Arial" w:hAnsi="Arial" w:cs="Arial"/>
              </w:rPr>
            </w:pPr>
            <w:r w:rsidRPr="00A45E3D">
              <w:rPr>
                <w:rFonts w:ascii="Arial" w:hAnsi="Arial" w:cs="Arial"/>
              </w:rPr>
              <w:t xml:space="preserve">                  -   € </w:t>
            </w:r>
          </w:p>
        </w:tc>
        <w:tc>
          <w:tcPr>
            <w:tcW w:w="2180" w:type="dxa"/>
            <w:tcBorders>
              <w:top w:val="nil"/>
              <w:left w:val="nil"/>
              <w:bottom w:val="single" w:sz="4" w:space="0" w:color="auto"/>
              <w:right w:val="single" w:sz="4" w:space="0" w:color="auto"/>
            </w:tcBorders>
            <w:shd w:val="clear" w:color="auto" w:fill="auto"/>
            <w:noWrap/>
            <w:vAlign w:val="bottom"/>
            <w:hideMark/>
          </w:tcPr>
          <w:p w14:paraId="4CFCC030" w14:textId="77777777" w:rsidR="00A45E3D" w:rsidRPr="00A45E3D" w:rsidRDefault="00A45E3D" w:rsidP="00A45E3D">
            <w:pPr>
              <w:rPr>
                <w:rFonts w:ascii="Arial" w:hAnsi="Arial" w:cs="Arial"/>
              </w:rPr>
            </w:pPr>
            <w:r w:rsidRPr="00A45E3D">
              <w:rPr>
                <w:rFonts w:ascii="Arial" w:hAnsi="Arial" w:cs="Arial"/>
              </w:rPr>
              <w:t xml:space="preserve">           20 753,00 € </w:t>
            </w:r>
          </w:p>
        </w:tc>
      </w:tr>
      <w:tr w:rsidR="00A45E3D" w:rsidRPr="00A45E3D" w14:paraId="64D3564F" w14:textId="77777777" w:rsidTr="00A45E3D">
        <w:trPr>
          <w:trHeight w:val="350"/>
        </w:trPr>
        <w:tc>
          <w:tcPr>
            <w:tcW w:w="1118" w:type="dxa"/>
            <w:tcBorders>
              <w:top w:val="nil"/>
              <w:left w:val="nil"/>
              <w:bottom w:val="nil"/>
              <w:right w:val="nil"/>
            </w:tcBorders>
            <w:shd w:val="clear" w:color="auto" w:fill="auto"/>
            <w:noWrap/>
            <w:vAlign w:val="bottom"/>
            <w:hideMark/>
          </w:tcPr>
          <w:p w14:paraId="385C4725" w14:textId="77777777" w:rsidR="00A45E3D" w:rsidRPr="00A45E3D" w:rsidRDefault="00A45E3D" w:rsidP="00A45E3D">
            <w:pPr>
              <w:rPr>
                <w:rFonts w:ascii="Arial" w:hAnsi="Arial" w:cs="Arial"/>
                <w:sz w:val="27"/>
                <w:szCs w:val="27"/>
              </w:rPr>
            </w:pPr>
          </w:p>
        </w:tc>
        <w:tc>
          <w:tcPr>
            <w:tcW w:w="1934" w:type="dxa"/>
            <w:tcBorders>
              <w:top w:val="nil"/>
              <w:left w:val="nil"/>
              <w:bottom w:val="nil"/>
              <w:right w:val="nil"/>
            </w:tcBorders>
            <w:shd w:val="clear" w:color="auto" w:fill="auto"/>
            <w:noWrap/>
            <w:vAlign w:val="bottom"/>
            <w:hideMark/>
          </w:tcPr>
          <w:p w14:paraId="47222D5C" w14:textId="77777777" w:rsidR="00A45E3D" w:rsidRPr="00A45E3D" w:rsidRDefault="00A45E3D" w:rsidP="00A45E3D">
            <w:pPr>
              <w:rPr>
                <w:rFonts w:ascii="Arial" w:hAnsi="Arial" w:cs="Arial"/>
                <w:sz w:val="27"/>
                <w:szCs w:val="27"/>
              </w:rPr>
            </w:pPr>
          </w:p>
        </w:tc>
        <w:tc>
          <w:tcPr>
            <w:tcW w:w="2040" w:type="dxa"/>
            <w:tcBorders>
              <w:top w:val="nil"/>
              <w:left w:val="nil"/>
              <w:bottom w:val="nil"/>
              <w:right w:val="nil"/>
            </w:tcBorders>
            <w:shd w:val="clear" w:color="auto" w:fill="auto"/>
            <w:noWrap/>
            <w:vAlign w:val="bottom"/>
            <w:hideMark/>
          </w:tcPr>
          <w:p w14:paraId="0532F0E0" w14:textId="77777777" w:rsidR="00A45E3D" w:rsidRPr="00A45E3D" w:rsidRDefault="00A45E3D" w:rsidP="00A45E3D">
            <w:pPr>
              <w:rPr>
                <w:rFonts w:ascii="Arial" w:hAnsi="Arial" w:cs="Arial"/>
              </w:rPr>
            </w:pPr>
          </w:p>
        </w:tc>
        <w:tc>
          <w:tcPr>
            <w:tcW w:w="2314" w:type="dxa"/>
            <w:tcBorders>
              <w:top w:val="nil"/>
              <w:left w:val="nil"/>
              <w:bottom w:val="nil"/>
              <w:right w:val="nil"/>
            </w:tcBorders>
            <w:shd w:val="clear" w:color="auto" w:fill="auto"/>
            <w:noWrap/>
            <w:vAlign w:val="bottom"/>
            <w:hideMark/>
          </w:tcPr>
          <w:p w14:paraId="0E4F7BAC" w14:textId="77777777" w:rsidR="00A45E3D" w:rsidRPr="00A45E3D" w:rsidRDefault="00A45E3D" w:rsidP="00A45E3D">
            <w:pPr>
              <w:rPr>
                <w:rFonts w:ascii="Arial" w:hAnsi="Arial" w:cs="Arial"/>
              </w:rPr>
            </w:pPr>
          </w:p>
        </w:tc>
        <w:tc>
          <w:tcPr>
            <w:tcW w:w="1880" w:type="dxa"/>
            <w:tcBorders>
              <w:top w:val="nil"/>
              <w:left w:val="nil"/>
              <w:bottom w:val="nil"/>
              <w:right w:val="nil"/>
            </w:tcBorders>
            <w:shd w:val="clear" w:color="auto" w:fill="auto"/>
            <w:noWrap/>
            <w:vAlign w:val="bottom"/>
            <w:hideMark/>
          </w:tcPr>
          <w:p w14:paraId="1A48351A" w14:textId="77777777" w:rsidR="00A45E3D" w:rsidRPr="00A45E3D" w:rsidRDefault="00A45E3D" w:rsidP="00A45E3D">
            <w:pPr>
              <w:rPr>
                <w:rFonts w:ascii="Arial" w:hAnsi="Arial" w:cs="Arial"/>
              </w:rPr>
            </w:pPr>
          </w:p>
        </w:tc>
        <w:tc>
          <w:tcPr>
            <w:tcW w:w="2180" w:type="dxa"/>
            <w:tcBorders>
              <w:top w:val="nil"/>
              <w:left w:val="nil"/>
              <w:bottom w:val="nil"/>
              <w:right w:val="nil"/>
            </w:tcBorders>
            <w:shd w:val="clear" w:color="auto" w:fill="auto"/>
            <w:noWrap/>
            <w:vAlign w:val="bottom"/>
            <w:hideMark/>
          </w:tcPr>
          <w:p w14:paraId="5F29E216" w14:textId="77777777" w:rsidR="00A45E3D" w:rsidRPr="00A45E3D" w:rsidRDefault="00A45E3D" w:rsidP="00A45E3D">
            <w:pPr>
              <w:rPr>
                <w:rFonts w:ascii="Arial" w:hAnsi="Arial" w:cs="Arial"/>
              </w:rPr>
            </w:pPr>
          </w:p>
        </w:tc>
      </w:tr>
      <w:tr w:rsidR="00A45E3D" w:rsidRPr="00A45E3D" w14:paraId="4A4B8262" w14:textId="77777777" w:rsidTr="00A45E3D">
        <w:trPr>
          <w:trHeight w:val="360"/>
        </w:trPr>
        <w:tc>
          <w:tcPr>
            <w:tcW w:w="3052" w:type="dxa"/>
            <w:gridSpan w:val="2"/>
            <w:tcBorders>
              <w:top w:val="single" w:sz="8" w:space="0" w:color="auto"/>
              <w:left w:val="single" w:sz="8" w:space="0" w:color="auto"/>
              <w:bottom w:val="single" w:sz="8" w:space="0" w:color="auto"/>
              <w:right w:val="single" w:sz="8" w:space="0" w:color="000000"/>
            </w:tcBorders>
            <w:shd w:val="clear" w:color="000000" w:fill="C5BE97"/>
            <w:noWrap/>
            <w:vAlign w:val="bottom"/>
            <w:hideMark/>
          </w:tcPr>
          <w:p w14:paraId="1AA2F941" w14:textId="77777777" w:rsidR="00A45E3D" w:rsidRPr="00A45E3D" w:rsidRDefault="00A45E3D" w:rsidP="00A45E3D">
            <w:pPr>
              <w:jc w:val="center"/>
              <w:rPr>
                <w:rFonts w:ascii="Arial" w:hAnsi="Arial" w:cs="Arial"/>
                <w:sz w:val="28"/>
                <w:szCs w:val="28"/>
              </w:rPr>
            </w:pPr>
            <w:r w:rsidRPr="00A45E3D">
              <w:rPr>
                <w:rFonts w:ascii="Arial" w:hAnsi="Arial" w:cs="Arial"/>
                <w:sz w:val="28"/>
                <w:szCs w:val="28"/>
              </w:rPr>
              <w:t>CELKOM:</w:t>
            </w:r>
          </w:p>
        </w:tc>
        <w:tc>
          <w:tcPr>
            <w:tcW w:w="2040" w:type="dxa"/>
            <w:tcBorders>
              <w:top w:val="single" w:sz="8" w:space="0" w:color="auto"/>
              <w:left w:val="nil"/>
              <w:bottom w:val="single" w:sz="8" w:space="0" w:color="auto"/>
              <w:right w:val="single" w:sz="8" w:space="0" w:color="auto"/>
            </w:tcBorders>
            <w:shd w:val="clear" w:color="000000" w:fill="C5BE97"/>
            <w:noWrap/>
            <w:vAlign w:val="bottom"/>
            <w:hideMark/>
          </w:tcPr>
          <w:p w14:paraId="7941034F" w14:textId="77777777" w:rsidR="00A45E3D" w:rsidRPr="00A45E3D" w:rsidRDefault="00A45E3D" w:rsidP="00A45E3D">
            <w:pPr>
              <w:rPr>
                <w:rFonts w:ascii="Arial" w:hAnsi="Arial" w:cs="Arial"/>
              </w:rPr>
            </w:pPr>
            <w:r w:rsidRPr="00A45E3D">
              <w:rPr>
                <w:rFonts w:ascii="Arial" w:hAnsi="Arial" w:cs="Arial"/>
              </w:rPr>
              <w:t xml:space="preserve">  10 621 150,00 € </w:t>
            </w:r>
          </w:p>
        </w:tc>
        <w:tc>
          <w:tcPr>
            <w:tcW w:w="2314" w:type="dxa"/>
            <w:tcBorders>
              <w:top w:val="single" w:sz="8" w:space="0" w:color="auto"/>
              <w:left w:val="nil"/>
              <w:bottom w:val="single" w:sz="8" w:space="0" w:color="auto"/>
              <w:right w:val="nil"/>
            </w:tcBorders>
            <w:shd w:val="clear" w:color="000000" w:fill="C5BE97"/>
            <w:noWrap/>
            <w:vAlign w:val="bottom"/>
            <w:hideMark/>
          </w:tcPr>
          <w:p w14:paraId="4E28DF97" w14:textId="77777777" w:rsidR="00A45E3D" w:rsidRPr="00A45E3D" w:rsidRDefault="00A45E3D" w:rsidP="00A45E3D">
            <w:pPr>
              <w:rPr>
                <w:rFonts w:ascii="Arial" w:hAnsi="Arial" w:cs="Arial"/>
              </w:rPr>
            </w:pPr>
            <w:r w:rsidRPr="00A45E3D">
              <w:rPr>
                <w:rFonts w:ascii="Arial" w:hAnsi="Arial" w:cs="Arial"/>
              </w:rPr>
              <w:t xml:space="preserve">   10 826 758,00 € </w:t>
            </w:r>
          </w:p>
        </w:tc>
        <w:tc>
          <w:tcPr>
            <w:tcW w:w="1880" w:type="dxa"/>
            <w:tcBorders>
              <w:top w:val="single" w:sz="8" w:space="0" w:color="auto"/>
              <w:left w:val="single" w:sz="8" w:space="0" w:color="auto"/>
              <w:bottom w:val="single" w:sz="8" w:space="0" w:color="auto"/>
              <w:right w:val="nil"/>
            </w:tcBorders>
            <w:shd w:val="clear" w:color="000000" w:fill="C5BE97"/>
            <w:noWrap/>
            <w:vAlign w:val="bottom"/>
            <w:hideMark/>
          </w:tcPr>
          <w:p w14:paraId="1116814B" w14:textId="55248FFF" w:rsidR="00A45E3D" w:rsidRPr="00A45E3D" w:rsidRDefault="00A45E3D" w:rsidP="00A45E3D">
            <w:pPr>
              <w:rPr>
                <w:rFonts w:ascii="Arial" w:hAnsi="Arial" w:cs="Arial"/>
                <w:color w:val="FF0000"/>
              </w:rPr>
            </w:pPr>
            <w:r w:rsidRPr="00A45E3D">
              <w:rPr>
                <w:rFonts w:ascii="Arial" w:hAnsi="Arial" w:cs="Arial"/>
                <w:color w:val="FF0000"/>
              </w:rPr>
              <w:t xml:space="preserve">    1</w:t>
            </w:r>
            <w:r w:rsidR="00F7146D">
              <w:rPr>
                <w:rFonts w:ascii="Arial" w:hAnsi="Arial" w:cs="Arial"/>
                <w:color w:val="FF0000"/>
              </w:rPr>
              <w:t>03</w:t>
            </w:r>
            <w:r w:rsidRPr="00A45E3D">
              <w:rPr>
                <w:rFonts w:ascii="Arial" w:hAnsi="Arial" w:cs="Arial"/>
                <w:color w:val="FF0000"/>
              </w:rPr>
              <w:t xml:space="preserve"> </w:t>
            </w:r>
            <w:r w:rsidR="00E66482">
              <w:rPr>
                <w:rFonts w:ascii="Arial" w:hAnsi="Arial" w:cs="Arial"/>
                <w:color w:val="FF0000"/>
              </w:rPr>
              <w:t>5</w:t>
            </w:r>
            <w:r w:rsidRPr="00A45E3D">
              <w:rPr>
                <w:rFonts w:ascii="Arial" w:hAnsi="Arial" w:cs="Arial"/>
                <w:color w:val="FF0000"/>
              </w:rPr>
              <w:t xml:space="preserve">00,00 € </w:t>
            </w:r>
          </w:p>
        </w:tc>
        <w:tc>
          <w:tcPr>
            <w:tcW w:w="2180" w:type="dxa"/>
            <w:tcBorders>
              <w:top w:val="single" w:sz="8" w:space="0" w:color="auto"/>
              <w:left w:val="single" w:sz="8" w:space="0" w:color="auto"/>
              <w:bottom w:val="single" w:sz="8" w:space="0" w:color="auto"/>
              <w:right w:val="single" w:sz="8" w:space="0" w:color="auto"/>
            </w:tcBorders>
            <w:shd w:val="clear" w:color="000000" w:fill="C5BE97"/>
            <w:noWrap/>
            <w:vAlign w:val="bottom"/>
            <w:hideMark/>
          </w:tcPr>
          <w:p w14:paraId="276AE121" w14:textId="65D02D95" w:rsidR="00A45E3D" w:rsidRPr="00A45E3D" w:rsidRDefault="00A45E3D" w:rsidP="00A45E3D">
            <w:pPr>
              <w:rPr>
                <w:rFonts w:ascii="Arial" w:hAnsi="Arial" w:cs="Arial"/>
                <w:color w:val="FF0000"/>
              </w:rPr>
            </w:pPr>
            <w:r w:rsidRPr="00A45E3D">
              <w:rPr>
                <w:rFonts w:ascii="Arial" w:hAnsi="Arial" w:cs="Arial"/>
                <w:color w:val="FF0000"/>
              </w:rPr>
              <w:t xml:space="preserve">    10 9</w:t>
            </w:r>
            <w:r w:rsidR="00F7146D">
              <w:rPr>
                <w:rFonts w:ascii="Arial" w:hAnsi="Arial" w:cs="Arial"/>
                <w:color w:val="FF0000"/>
              </w:rPr>
              <w:t>30</w:t>
            </w:r>
            <w:r w:rsidRPr="00A45E3D">
              <w:rPr>
                <w:rFonts w:ascii="Arial" w:hAnsi="Arial" w:cs="Arial"/>
                <w:color w:val="FF0000"/>
              </w:rPr>
              <w:t xml:space="preserve"> </w:t>
            </w:r>
            <w:r w:rsidR="00E66482">
              <w:rPr>
                <w:rFonts w:ascii="Arial" w:hAnsi="Arial" w:cs="Arial"/>
                <w:color w:val="FF0000"/>
              </w:rPr>
              <w:t>2</w:t>
            </w:r>
            <w:r w:rsidRPr="00A45E3D">
              <w:rPr>
                <w:rFonts w:ascii="Arial" w:hAnsi="Arial" w:cs="Arial"/>
                <w:color w:val="FF0000"/>
              </w:rPr>
              <w:t xml:space="preserve">58,00 € </w:t>
            </w:r>
          </w:p>
        </w:tc>
      </w:tr>
      <w:tr w:rsidR="00A45E3D" w:rsidRPr="00A45E3D" w14:paraId="6817BB68" w14:textId="77777777" w:rsidTr="00A45E3D">
        <w:trPr>
          <w:trHeight w:val="310"/>
        </w:trPr>
        <w:tc>
          <w:tcPr>
            <w:tcW w:w="1118" w:type="dxa"/>
            <w:tcBorders>
              <w:top w:val="nil"/>
              <w:left w:val="nil"/>
              <w:bottom w:val="nil"/>
              <w:right w:val="nil"/>
            </w:tcBorders>
            <w:shd w:val="clear" w:color="auto" w:fill="auto"/>
            <w:noWrap/>
            <w:vAlign w:val="bottom"/>
            <w:hideMark/>
          </w:tcPr>
          <w:p w14:paraId="4DD5C9CF" w14:textId="77777777" w:rsidR="00A45E3D" w:rsidRPr="00A45E3D" w:rsidRDefault="00A45E3D" w:rsidP="00A45E3D">
            <w:pPr>
              <w:rPr>
                <w:rFonts w:ascii="Arial" w:hAnsi="Arial" w:cs="Arial"/>
                <w:sz w:val="20"/>
                <w:szCs w:val="20"/>
              </w:rPr>
            </w:pPr>
          </w:p>
        </w:tc>
        <w:tc>
          <w:tcPr>
            <w:tcW w:w="1934" w:type="dxa"/>
            <w:tcBorders>
              <w:top w:val="nil"/>
              <w:left w:val="nil"/>
              <w:bottom w:val="nil"/>
              <w:right w:val="nil"/>
            </w:tcBorders>
            <w:shd w:val="clear" w:color="auto" w:fill="auto"/>
            <w:noWrap/>
            <w:vAlign w:val="bottom"/>
            <w:hideMark/>
          </w:tcPr>
          <w:p w14:paraId="1DABECBB" w14:textId="77777777" w:rsidR="00A45E3D" w:rsidRPr="00A45E3D" w:rsidRDefault="00A45E3D" w:rsidP="00A45E3D">
            <w:pPr>
              <w:rPr>
                <w:rFonts w:ascii="Arial" w:hAnsi="Arial" w:cs="Arial"/>
                <w:sz w:val="20"/>
                <w:szCs w:val="20"/>
              </w:rPr>
            </w:pPr>
          </w:p>
        </w:tc>
        <w:tc>
          <w:tcPr>
            <w:tcW w:w="2040" w:type="dxa"/>
            <w:tcBorders>
              <w:top w:val="nil"/>
              <w:left w:val="nil"/>
              <w:bottom w:val="nil"/>
              <w:right w:val="nil"/>
            </w:tcBorders>
            <w:shd w:val="clear" w:color="auto" w:fill="auto"/>
            <w:noWrap/>
            <w:vAlign w:val="bottom"/>
            <w:hideMark/>
          </w:tcPr>
          <w:p w14:paraId="67A5964D" w14:textId="77777777" w:rsidR="00A45E3D" w:rsidRPr="00A45E3D" w:rsidRDefault="00A45E3D" w:rsidP="00A45E3D">
            <w:pPr>
              <w:rPr>
                <w:rFonts w:ascii="Arial" w:hAnsi="Arial" w:cs="Arial"/>
              </w:rPr>
            </w:pPr>
          </w:p>
        </w:tc>
        <w:tc>
          <w:tcPr>
            <w:tcW w:w="2314" w:type="dxa"/>
            <w:tcBorders>
              <w:top w:val="nil"/>
              <w:left w:val="nil"/>
              <w:bottom w:val="nil"/>
              <w:right w:val="nil"/>
            </w:tcBorders>
            <w:shd w:val="clear" w:color="auto" w:fill="auto"/>
            <w:noWrap/>
            <w:vAlign w:val="bottom"/>
            <w:hideMark/>
          </w:tcPr>
          <w:p w14:paraId="5683F60B" w14:textId="77777777" w:rsidR="00A45E3D" w:rsidRPr="00A45E3D" w:rsidRDefault="00A45E3D" w:rsidP="00A45E3D">
            <w:pPr>
              <w:rPr>
                <w:rFonts w:ascii="Arial" w:hAnsi="Arial" w:cs="Arial"/>
              </w:rPr>
            </w:pPr>
          </w:p>
        </w:tc>
        <w:tc>
          <w:tcPr>
            <w:tcW w:w="1880" w:type="dxa"/>
            <w:tcBorders>
              <w:top w:val="nil"/>
              <w:left w:val="nil"/>
              <w:bottom w:val="nil"/>
              <w:right w:val="nil"/>
            </w:tcBorders>
            <w:shd w:val="clear" w:color="auto" w:fill="auto"/>
            <w:noWrap/>
            <w:vAlign w:val="bottom"/>
            <w:hideMark/>
          </w:tcPr>
          <w:p w14:paraId="1F82D752" w14:textId="77777777" w:rsidR="00A45E3D" w:rsidRPr="00A45E3D" w:rsidRDefault="00A45E3D" w:rsidP="00A45E3D">
            <w:pPr>
              <w:rPr>
                <w:rFonts w:ascii="Arial" w:hAnsi="Arial" w:cs="Arial"/>
              </w:rPr>
            </w:pPr>
          </w:p>
        </w:tc>
        <w:tc>
          <w:tcPr>
            <w:tcW w:w="2180" w:type="dxa"/>
            <w:tcBorders>
              <w:top w:val="nil"/>
              <w:left w:val="nil"/>
              <w:bottom w:val="nil"/>
              <w:right w:val="nil"/>
            </w:tcBorders>
            <w:shd w:val="clear" w:color="auto" w:fill="auto"/>
            <w:noWrap/>
            <w:vAlign w:val="bottom"/>
            <w:hideMark/>
          </w:tcPr>
          <w:p w14:paraId="798B17AA" w14:textId="77777777" w:rsidR="00A45E3D" w:rsidRPr="00A45E3D" w:rsidRDefault="00A45E3D" w:rsidP="00A45E3D">
            <w:pPr>
              <w:rPr>
                <w:rFonts w:ascii="Arial" w:hAnsi="Arial" w:cs="Arial"/>
              </w:rPr>
            </w:pPr>
          </w:p>
        </w:tc>
      </w:tr>
      <w:tr w:rsidR="00A45E3D" w:rsidRPr="00A45E3D" w14:paraId="2A72B80F" w14:textId="77777777" w:rsidTr="00A45E3D">
        <w:trPr>
          <w:trHeight w:val="320"/>
        </w:trPr>
        <w:tc>
          <w:tcPr>
            <w:tcW w:w="1118" w:type="dxa"/>
            <w:tcBorders>
              <w:top w:val="nil"/>
              <w:left w:val="nil"/>
              <w:bottom w:val="nil"/>
              <w:right w:val="nil"/>
            </w:tcBorders>
            <w:shd w:val="clear" w:color="auto" w:fill="auto"/>
            <w:noWrap/>
            <w:vAlign w:val="bottom"/>
            <w:hideMark/>
          </w:tcPr>
          <w:p w14:paraId="717D7F49" w14:textId="77777777" w:rsidR="00A45E3D" w:rsidRPr="00A45E3D" w:rsidRDefault="00A45E3D" w:rsidP="00A45E3D">
            <w:pPr>
              <w:rPr>
                <w:rFonts w:ascii="Arial" w:hAnsi="Arial" w:cs="Arial"/>
                <w:sz w:val="20"/>
                <w:szCs w:val="20"/>
              </w:rPr>
            </w:pPr>
          </w:p>
        </w:tc>
        <w:tc>
          <w:tcPr>
            <w:tcW w:w="1934" w:type="dxa"/>
            <w:tcBorders>
              <w:top w:val="nil"/>
              <w:left w:val="nil"/>
              <w:bottom w:val="nil"/>
              <w:right w:val="nil"/>
            </w:tcBorders>
            <w:shd w:val="clear" w:color="auto" w:fill="auto"/>
            <w:noWrap/>
            <w:vAlign w:val="bottom"/>
            <w:hideMark/>
          </w:tcPr>
          <w:p w14:paraId="7689130B" w14:textId="77777777" w:rsidR="00A45E3D" w:rsidRPr="00A45E3D" w:rsidRDefault="00A45E3D" w:rsidP="00A45E3D">
            <w:pPr>
              <w:rPr>
                <w:rFonts w:ascii="Arial" w:hAnsi="Arial" w:cs="Arial"/>
                <w:sz w:val="20"/>
                <w:szCs w:val="20"/>
              </w:rPr>
            </w:pPr>
          </w:p>
        </w:tc>
        <w:tc>
          <w:tcPr>
            <w:tcW w:w="2040" w:type="dxa"/>
            <w:tcBorders>
              <w:top w:val="nil"/>
              <w:left w:val="nil"/>
              <w:bottom w:val="nil"/>
              <w:right w:val="nil"/>
            </w:tcBorders>
            <w:shd w:val="clear" w:color="auto" w:fill="auto"/>
            <w:noWrap/>
            <w:vAlign w:val="bottom"/>
            <w:hideMark/>
          </w:tcPr>
          <w:p w14:paraId="03AC9332" w14:textId="77777777" w:rsidR="00A45E3D" w:rsidRPr="00A45E3D" w:rsidRDefault="00A45E3D" w:rsidP="00A45E3D">
            <w:pPr>
              <w:rPr>
                <w:rFonts w:ascii="Arial" w:hAnsi="Arial" w:cs="Arial"/>
              </w:rPr>
            </w:pPr>
          </w:p>
        </w:tc>
        <w:tc>
          <w:tcPr>
            <w:tcW w:w="2314" w:type="dxa"/>
            <w:tcBorders>
              <w:top w:val="nil"/>
              <w:left w:val="nil"/>
              <w:bottom w:val="nil"/>
              <w:right w:val="nil"/>
            </w:tcBorders>
            <w:shd w:val="clear" w:color="auto" w:fill="auto"/>
            <w:noWrap/>
            <w:vAlign w:val="bottom"/>
            <w:hideMark/>
          </w:tcPr>
          <w:p w14:paraId="0E97A4EE" w14:textId="77777777" w:rsidR="00A45E3D" w:rsidRPr="00A45E3D" w:rsidRDefault="00A45E3D" w:rsidP="00A45E3D">
            <w:pPr>
              <w:rPr>
                <w:rFonts w:ascii="Arial" w:hAnsi="Arial" w:cs="Arial"/>
              </w:rPr>
            </w:pPr>
          </w:p>
        </w:tc>
        <w:tc>
          <w:tcPr>
            <w:tcW w:w="1880" w:type="dxa"/>
            <w:tcBorders>
              <w:top w:val="nil"/>
              <w:left w:val="nil"/>
              <w:bottom w:val="nil"/>
              <w:right w:val="nil"/>
            </w:tcBorders>
            <w:shd w:val="clear" w:color="auto" w:fill="auto"/>
            <w:noWrap/>
            <w:vAlign w:val="bottom"/>
            <w:hideMark/>
          </w:tcPr>
          <w:p w14:paraId="6A9F080A" w14:textId="77777777" w:rsidR="00A45E3D" w:rsidRPr="00A45E3D" w:rsidRDefault="00A45E3D" w:rsidP="00A45E3D">
            <w:pPr>
              <w:rPr>
                <w:rFonts w:ascii="Arial" w:hAnsi="Arial" w:cs="Arial"/>
              </w:rPr>
            </w:pPr>
          </w:p>
        </w:tc>
        <w:tc>
          <w:tcPr>
            <w:tcW w:w="2180" w:type="dxa"/>
            <w:tcBorders>
              <w:top w:val="nil"/>
              <w:left w:val="nil"/>
              <w:bottom w:val="nil"/>
              <w:right w:val="nil"/>
            </w:tcBorders>
            <w:shd w:val="clear" w:color="auto" w:fill="auto"/>
            <w:noWrap/>
            <w:vAlign w:val="bottom"/>
            <w:hideMark/>
          </w:tcPr>
          <w:p w14:paraId="72044FB5" w14:textId="77777777" w:rsidR="00A45E3D" w:rsidRPr="00A45E3D" w:rsidRDefault="00A45E3D" w:rsidP="00A45E3D">
            <w:pPr>
              <w:rPr>
                <w:rFonts w:ascii="Arial" w:hAnsi="Arial" w:cs="Arial"/>
              </w:rPr>
            </w:pPr>
          </w:p>
        </w:tc>
      </w:tr>
      <w:tr w:rsidR="00A45E3D" w:rsidRPr="00A45E3D" w14:paraId="3C45F2D0" w14:textId="77777777" w:rsidTr="00A45E3D">
        <w:trPr>
          <w:trHeight w:val="370"/>
        </w:trPr>
        <w:tc>
          <w:tcPr>
            <w:tcW w:w="1118" w:type="dxa"/>
            <w:tcBorders>
              <w:top w:val="nil"/>
              <w:left w:val="nil"/>
              <w:bottom w:val="nil"/>
              <w:right w:val="nil"/>
            </w:tcBorders>
            <w:shd w:val="clear" w:color="auto" w:fill="auto"/>
            <w:noWrap/>
            <w:vAlign w:val="bottom"/>
            <w:hideMark/>
          </w:tcPr>
          <w:p w14:paraId="0E0BE11B" w14:textId="77777777" w:rsidR="00A45E3D" w:rsidRPr="00A45E3D" w:rsidRDefault="00A45E3D" w:rsidP="00A45E3D">
            <w:pPr>
              <w:rPr>
                <w:rFonts w:ascii="Arial" w:hAnsi="Arial" w:cs="Arial"/>
                <w:sz w:val="20"/>
                <w:szCs w:val="20"/>
              </w:rPr>
            </w:pPr>
          </w:p>
        </w:tc>
        <w:tc>
          <w:tcPr>
            <w:tcW w:w="19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8C7917C" w14:textId="77777777" w:rsidR="00A45E3D" w:rsidRPr="00A45E3D" w:rsidRDefault="00A45E3D" w:rsidP="00A45E3D">
            <w:pPr>
              <w:rPr>
                <w:rFonts w:ascii="Arial" w:hAnsi="Arial" w:cs="Arial"/>
                <w:b/>
                <w:bCs/>
                <w:sz w:val="28"/>
                <w:szCs w:val="28"/>
              </w:rPr>
            </w:pPr>
            <w:r w:rsidRPr="00A45E3D">
              <w:rPr>
                <w:rFonts w:ascii="Arial" w:hAnsi="Arial" w:cs="Arial"/>
                <w:b/>
                <w:bCs/>
                <w:sz w:val="28"/>
                <w:szCs w:val="28"/>
              </w:rPr>
              <w:t>PREBYTOK</w:t>
            </w:r>
          </w:p>
        </w:tc>
        <w:tc>
          <w:tcPr>
            <w:tcW w:w="2040" w:type="dxa"/>
            <w:tcBorders>
              <w:top w:val="single" w:sz="8" w:space="0" w:color="auto"/>
              <w:left w:val="nil"/>
              <w:bottom w:val="single" w:sz="8" w:space="0" w:color="auto"/>
              <w:right w:val="single" w:sz="4" w:space="0" w:color="auto"/>
            </w:tcBorders>
            <w:shd w:val="clear" w:color="auto" w:fill="auto"/>
            <w:noWrap/>
            <w:vAlign w:val="bottom"/>
            <w:hideMark/>
          </w:tcPr>
          <w:p w14:paraId="1B254998" w14:textId="77777777" w:rsidR="00A45E3D" w:rsidRPr="00A45E3D" w:rsidRDefault="00A45E3D" w:rsidP="00A45E3D">
            <w:pPr>
              <w:rPr>
                <w:rFonts w:ascii="Arial" w:hAnsi="Arial" w:cs="Arial"/>
                <w:b/>
                <w:bCs/>
              </w:rPr>
            </w:pPr>
            <w:r w:rsidRPr="00A45E3D">
              <w:rPr>
                <w:rFonts w:ascii="Arial" w:hAnsi="Arial" w:cs="Arial"/>
                <w:b/>
                <w:bCs/>
              </w:rPr>
              <w:t xml:space="preserve">       639 000,00 € </w:t>
            </w:r>
          </w:p>
        </w:tc>
        <w:tc>
          <w:tcPr>
            <w:tcW w:w="2314" w:type="dxa"/>
            <w:tcBorders>
              <w:top w:val="single" w:sz="8" w:space="0" w:color="auto"/>
              <w:left w:val="nil"/>
              <w:bottom w:val="single" w:sz="8" w:space="0" w:color="auto"/>
              <w:right w:val="single" w:sz="4" w:space="0" w:color="auto"/>
            </w:tcBorders>
            <w:shd w:val="clear" w:color="auto" w:fill="auto"/>
            <w:noWrap/>
            <w:vAlign w:val="bottom"/>
            <w:hideMark/>
          </w:tcPr>
          <w:p w14:paraId="00851654" w14:textId="77777777" w:rsidR="00A45E3D" w:rsidRPr="00A45E3D" w:rsidRDefault="00A45E3D" w:rsidP="00A45E3D">
            <w:pPr>
              <w:rPr>
                <w:rFonts w:ascii="Arial" w:hAnsi="Arial" w:cs="Arial"/>
                <w:b/>
                <w:bCs/>
              </w:rPr>
            </w:pPr>
            <w:r w:rsidRPr="00A45E3D">
              <w:rPr>
                <w:rFonts w:ascii="Arial" w:hAnsi="Arial" w:cs="Arial"/>
                <w:b/>
                <w:bCs/>
              </w:rPr>
              <w:t xml:space="preserve">        473 092,00 € </w:t>
            </w:r>
          </w:p>
        </w:tc>
        <w:tc>
          <w:tcPr>
            <w:tcW w:w="1880" w:type="dxa"/>
            <w:tcBorders>
              <w:top w:val="single" w:sz="8" w:space="0" w:color="auto"/>
              <w:left w:val="nil"/>
              <w:bottom w:val="single" w:sz="8" w:space="0" w:color="auto"/>
              <w:right w:val="nil"/>
            </w:tcBorders>
            <w:shd w:val="clear" w:color="auto" w:fill="auto"/>
            <w:noWrap/>
            <w:vAlign w:val="bottom"/>
            <w:hideMark/>
          </w:tcPr>
          <w:p w14:paraId="0CB63A48" w14:textId="19E4B7BD" w:rsidR="00A45E3D" w:rsidRPr="00A45E3D" w:rsidRDefault="00A45E3D" w:rsidP="00A45E3D">
            <w:pPr>
              <w:rPr>
                <w:rFonts w:ascii="Arial" w:hAnsi="Arial" w:cs="Arial"/>
                <w:b/>
                <w:bCs/>
                <w:color w:val="FF0000"/>
              </w:rPr>
            </w:pPr>
            <w:r w:rsidRPr="00A45E3D">
              <w:rPr>
                <w:rFonts w:ascii="Arial" w:hAnsi="Arial" w:cs="Arial"/>
                <w:b/>
                <w:bCs/>
                <w:color w:val="FF0000"/>
              </w:rPr>
              <w:t>-   1</w:t>
            </w:r>
            <w:r w:rsidR="00F7146D">
              <w:rPr>
                <w:rFonts w:ascii="Arial" w:hAnsi="Arial" w:cs="Arial"/>
                <w:b/>
                <w:bCs/>
                <w:color w:val="FF0000"/>
              </w:rPr>
              <w:t>03</w:t>
            </w:r>
            <w:r w:rsidRPr="00A45E3D">
              <w:rPr>
                <w:rFonts w:ascii="Arial" w:hAnsi="Arial" w:cs="Arial"/>
                <w:b/>
                <w:bCs/>
                <w:color w:val="FF0000"/>
              </w:rPr>
              <w:t xml:space="preserve"> </w:t>
            </w:r>
            <w:r w:rsidR="00E66482">
              <w:rPr>
                <w:rFonts w:ascii="Arial" w:hAnsi="Arial" w:cs="Arial"/>
                <w:b/>
                <w:bCs/>
                <w:color w:val="FF0000"/>
              </w:rPr>
              <w:t>5</w:t>
            </w:r>
            <w:r w:rsidRPr="00A45E3D">
              <w:rPr>
                <w:rFonts w:ascii="Arial" w:hAnsi="Arial" w:cs="Arial"/>
                <w:b/>
                <w:bCs/>
                <w:color w:val="FF0000"/>
              </w:rPr>
              <w:t xml:space="preserve">00,00 € </w:t>
            </w:r>
          </w:p>
        </w:tc>
        <w:tc>
          <w:tcPr>
            <w:tcW w:w="2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E6A49D" w14:textId="72929A27" w:rsidR="00A45E3D" w:rsidRPr="00A45E3D" w:rsidRDefault="00A45E3D" w:rsidP="00A45E3D">
            <w:pPr>
              <w:rPr>
                <w:rFonts w:ascii="Arial" w:hAnsi="Arial" w:cs="Arial"/>
                <w:b/>
                <w:bCs/>
              </w:rPr>
            </w:pPr>
            <w:r w:rsidRPr="00A45E3D">
              <w:rPr>
                <w:rFonts w:ascii="Arial" w:hAnsi="Arial" w:cs="Arial"/>
                <w:b/>
                <w:bCs/>
              </w:rPr>
              <w:t xml:space="preserve">         3</w:t>
            </w:r>
            <w:r w:rsidR="00F7146D">
              <w:rPr>
                <w:rFonts w:ascii="Arial" w:hAnsi="Arial" w:cs="Arial"/>
                <w:b/>
                <w:bCs/>
              </w:rPr>
              <w:t>69</w:t>
            </w:r>
            <w:r w:rsidRPr="00A45E3D">
              <w:rPr>
                <w:rFonts w:ascii="Arial" w:hAnsi="Arial" w:cs="Arial"/>
                <w:b/>
                <w:bCs/>
              </w:rPr>
              <w:t xml:space="preserve"> </w:t>
            </w:r>
            <w:r w:rsidR="00E66482">
              <w:rPr>
                <w:rFonts w:ascii="Arial" w:hAnsi="Arial" w:cs="Arial"/>
                <w:b/>
                <w:bCs/>
              </w:rPr>
              <w:t>5</w:t>
            </w:r>
            <w:r w:rsidRPr="00A45E3D">
              <w:rPr>
                <w:rFonts w:ascii="Arial" w:hAnsi="Arial" w:cs="Arial"/>
                <w:b/>
                <w:bCs/>
              </w:rPr>
              <w:t xml:space="preserve">92,00 € </w:t>
            </w:r>
          </w:p>
        </w:tc>
      </w:tr>
    </w:tbl>
    <w:p w14:paraId="6280FA90" w14:textId="77777777" w:rsidR="00932C28" w:rsidRDefault="00932C28" w:rsidP="00932C28">
      <w:pPr>
        <w:pStyle w:val="Odsekzoznamu"/>
        <w:jc w:val="both"/>
      </w:pPr>
    </w:p>
    <w:p w14:paraId="091960D3" w14:textId="77777777" w:rsidR="00A45E3D" w:rsidRDefault="00A45E3D" w:rsidP="00EC3BD4">
      <w:pPr>
        <w:jc w:val="center"/>
        <w:rPr>
          <w:rFonts w:ascii="Arial" w:hAnsi="Arial" w:cs="Arial"/>
          <w:b/>
          <w:sz w:val="22"/>
          <w:szCs w:val="22"/>
        </w:rPr>
      </w:pPr>
    </w:p>
    <w:p w14:paraId="6C96F79F" w14:textId="77777777" w:rsidR="00DC1DFA" w:rsidRDefault="00DC1DFA" w:rsidP="00EC3BD4">
      <w:pPr>
        <w:jc w:val="center"/>
        <w:rPr>
          <w:rFonts w:ascii="Arial" w:hAnsi="Arial" w:cs="Arial"/>
          <w:b/>
          <w:sz w:val="22"/>
          <w:szCs w:val="22"/>
        </w:rPr>
      </w:pPr>
    </w:p>
    <w:p w14:paraId="2DA43175" w14:textId="76A68765" w:rsidR="00EC3BD4" w:rsidRDefault="00EC3BD4" w:rsidP="00EC3BD4">
      <w:pPr>
        <w:jc w:val="center"/>
        <w:rPr>
          <w:rFonts w:ascii="Arial" w:hAnsi="Arial" w:cs="Arial"/>
          <w:b/>
          <w:sz w:val="22"/>
          <w:szCs w:val="22"/>
        </w:rPr>
      </w:pPr>
      <w:r>
        <w:rPr>
          <w:rFonts w:ascii="Arial" w:hAnsi="Arial" w:cs="Arial"/>
          <w:b/>
          <w:sz w:val="22"/>
          <w:szCs w:val="22"/>
        </w:rPr>
        <w:t>Dôvodová správa</w:t>
      </w:r>
    </w:p>
    <w:p w14:paraId="40280DAC" w14:textId="77777777" w:rsidR="00DC1DFA" w:rsidRDefault="00DC1DFA" w:rsidP="00EC3BD4">
      <w:pPr>
        <w:jc w:val="center"/>
        <w:rPr>
          <w:rFonts w:ascii="Arial" w:hAnsi="Arial" w:cs="Arial"/>
          <w:b/>
          <w:sz w:val="22"/>
          <w:szCs w:val="22"/>
        </w:rPr>
      </w:pPr>
    </w:p>
    <w:p w14:paraId="0F0A0ED4" w14:textId="77777777" w:rsidR="00EC3BD4" w:rsidRDefault="00EC3BD4" w:rsidP="00DC1DFA">
      <w:pPr>
        <w:jc w:val="center"/>
        <w:rPr>
          <w:rFonts w:ascii="Arial" w:hAnsi="Arial" w:cs="Arial"/>
          <w:b/>
          <w:sz w:val="22"/>
          <w:szCs w:val="22"/>
        </w:rPr>
      </w:pPr>
    </w:p>
    <w:p w14:paraId="57EC96D3" w14:textId="4242643C" w:rsidR="00DC1DFA" w:rsidRDefault="00DC1DFA" w:rsidP="00AD5BAF">
      <w:pPr>
        <w:jc w:val="both"/>
        <w:rPr>
          <w:rFonts w:ascii="Arial" w:hAnsi="Arial" w:cs="Arial"/>
          <w:b/>
          <w:sz w:val="22"/>
          <w:szCs w:val="22"/>
        </w:rPr>
      </w:pPr>
      <w:r>
        <w:rPr>
          <w:rFonts w:ascii="Arial" w:hAnsi="Arial" w:cs="Arial"/>
          <w:b/>
          <w:sz w:val="22"/>
          <w:szCs w:val="22"/>
        </w:rPr>
        <w:t>Rozpočet mestskej časti Bratislava – Podunajské Biskupice bol schválený uznesením č. č. 265/2018-2022 ako prebytkový vo výške 639 000,00 €</w:t>
      </w:r>
      <w:r w:rsidR="002B7F92">
        <w:rPr>
          <w:rFonts w:ascii="Arial" w:hAnsi="Arial" w:cs="Arial"/>
          <w:b/>
          <w:sz w:val="22"/>
          <w:szCs w:val="22"/>
        </w:rPr>
        <w:t xml:space="preserve">. Rozpočet príjmov bol schválený vo výške 10 780 150,00 € a rozpočet výdavkov bol schválený vo výške 10 600 397,00 €, t. j. schválený prebytok rozpočtu príjmov a výdavkov predstavoval 179 753, 00 €. V schválenom rozpočte na rok 2021 sú zahrnuté </w:t>
      </w:r>
      <w:r w:rsidR="00435965">
        <w:rPr>
          <w:rFonts w:ascii="Arial" w:hAnsi="Arial" w:cs="Arial"/>
          <w:b/>
          <w:sz w:val="22"/>
          <w:szCs w:val="22"/>
        </w:rPr>
        <w:t xml:space="preserve">aj </w:t>
      </w:r>
      <w:r w:rsidR="002B7F92">
        <w:rPr>
          <w:rFonts w:ascii="Arial" w:hAnsi="Arial" w:cs="Arial"/>
          <w:b/>
          <w:sz w:val="22"/>
          <w:szCs w:val="22"/>
        </w:rPr>
        <w:t>príjmové a výdavkové finančné operácie, ktorých rozdiel predstavuje prebytok v sume 459 247,00 €</w:t>
      </w:r>
      <w:r w:rsidR="00D01E83">
        <w:rPr>
          <w:rFonts w:ascii="Arial" w:hAnsi="Arial" w:cs="Arial"/>
          <w:b/>
          <w:sz w:val="22"/>
          <w:szCs w:val="22"/>
        </w:rPr>
        <w:t>. Celkový prebytok schváleného rozpočtu na rok 2021 predstavuje spolu 639 000,00 €.</w:t>
      </w:r>
      <w:r w:rsidR="002B7F92">
        <w:rPr>
          <w:rFonts w:ascii="Arial" w:hAnsi="Arial" w:cs="Arial"/>
          <w:b/>
          <w:sz w:val="22"/>
          <w:szCs w:val="22"/>
        </w:rPr>
        <w:t xml:space="preserve"> </w:t>
      </w:r>
    </w:p>
    <w:p w14:paraId="26548B0F" w14:textId="0C805E8F" w:rsidR="00D01E83" w:rsidRDefault="00BE635C" w:rsidP="00AD5BAF">
      <w:pPr>
        <w:jc w:val="both"/>
        <w:rPr>
          <w:rFonts w:ascii="Arial" w:hAnsi="Arial" w:cs="Arial"/>
          <w:b/>
          <w:sz w:val="22"/>
          <w:szCs w:val="22"/>
        </w:rPr>
      </w:pPr>
      <w:r>
        <w:rPr>
          <w:rFonts w:ascii="Arial" w:hAnsi="Arial" w:cs="Arial"/>
          <w:b/>
          <w:sz w:val="22"/>
          <w:szCs w:val="22"/>
        </w:rPr>
        <w:t xml:space="preserve">     </w:t>
      </w:r>
      <w:r w:rsidR="00DC1DFA">
        <w:rPr>
          <w:rFonts w:ascii="Arial" w:hAnsi="Arial" w:cs="Arial"/>
          <w:b/>
          <w:sz w:val="22"/>
          <w:szCs w:val="22"/>
        </w:rPr>
        <w:t>Následne bol</w:t>
      </w:r>
      <w:r w:rsidR="00D01E83">
        <w:rPr>
          <w:rFonts w:ascii="Arial" w:hAnsi="Arial" w:cs="Arial"/>
          <w:b/>
          <w:sz w:val="22"/>
          <w:szCs w:val="22"/>
        </w:rPr>
        <w:t>a</w:t>
      </w:r>
      <w:r w:rsidR="00DC1DFA">
        <w:rPr>
          <w:rFonts w:ascii="Arial" w:hAnsi="Arial" w:cs="Arial"/>
          <w:b/>
          <w:sz w:val="22"/>
          <w:szCs w:val="22"/>
        </w:rPr>
        <w:t xml:space="preserve"> </w:t>
      </w:r>
      <w:r w:rsidR="002B7F92">
        <w:rPr>
          <w:rFonts w:ascii="Arial" w:hAnsi="Arial" w:cs="Arial"/>
          <w:b/>
          <w:sz w:val="22"/>
          <w:szCs w:val="22"/>
        </w:rPr>
        <w:t>uznesením</w:t>
      </w:r>
      <w:r w:rsidR="00D01E83">
        <w:rPr>
          <w:rFonts w:ascii="Arial" w:hAnsi="Arial" w:cs="Arial"/>
          <w:b/>
          <w:sz w:val="22"/>
          <w:szCs w:val="22"/>
        </w:rPr>
        <w:t xml:space="preserve"> </w:t>
      </w:r>
      <w:proofErr w:type="spellStart"/>
      <w:r w:rsidR="00D01E83">
        <w:rPr>
          <w:rFonts w:ascii="Arial" w:hAnsi="Arial" w:cs="Arial"/>
          <w:b/>
          <w:sz w:val="22"/>
          <w:szCs w:val="22"/>
        </w:rPr>
        <w:t>MiZ</w:t>
      </w:r>
      <w:proofErr w:type="spellEnd"/>
      <w:r w:rsidR="002B7F92">
        <w:rPr>
          <w:rFonts w:ascii="Arial" w:hAnsi="Arial" w:cs="Arial"/>
          <w:b/>
          <w:sz w:val="22"/>
          <w:szCs w:val="22"/>
        </w:rPr>
        <w:t xml:space="preserve"> č. 288/2018-2022</w:t>
      </w:r>
      <w:r w:rsidR="00D01E83">
        <w:rPr>
          <w:rFonts w:ascii="Arial" w:hAnsi="Arial" w:cs="Arial"/>
          <w:b/>
          <w:sz w:val="22"/>
          <w:szCs w:val="22"/>
        </w:rPr>
        <w:t xml:space="preserve"> schválená I. zmena rozpočtu na rok 2021, ktorým bol </w:t>
      </w:r>
      <w:r w:rsidR="00435965">
        <w:rPr>
          <w:rFonts w:ascii="Arial" w:hAnsi="Arial" w:cs="Arial"/>
          <w:b/>
          <w:sz w:val="22"/>
          <w:szCs w:val="22"/>
        </w:rPr>
        <w:t xml:space="preserve">zo schváleného prebytku </w:t>
      </w:r>
      <w:r w:rsidR="00D01E83">
        <w:rPr>
          <w:rFonts w:ascii="Arial" w:hAnsi="Arial" w:cs="Arial"/>
          <w:b/>
          <w:sz w:val="22"/>
          <w:szCs w:val="22"/>
        </w:rPr>
        <w:t>navýšený rozpočet bežných výdavkov o 90 000,00 €</w:t>
      </w:r>
      <w:r w:rsidR="00435965">
        <w:rPr>
          <w:rFonts w:ascii="Arial" w:hAnsi="Arial" w:cs="Arial"/>
          <w:b/>
          <w:sz w:val="22"/>
          <w:szCs w:val="22"/>
        </w:rPr>
        <w:t xml:space="preserve"> </w:t>
      </w:r>
      <w:r w:rsidR="00D01E83">
        <w:rPr>
          <w:rFonts w:ascii="Arial" w:hAnsi="Arial" w:cs="Arial"/>
          <w:b/>
          <w:sz w:val="22"/>
          <w:szCs w:val="22"/>
        </w:rPr>
        <w:t>a rozpočet kapitálových výdavkov o 75 908,00</w:t>
      </w:r>
      <w:r w:rsidR="00435965">
        <w:rPr>
          <w:rFonts w:ascii="Arial" w:hAnsi="Arial" w:cs="Arial"/>
          <w:b/>
          <w:sz w:val="22"/>
          <w:szCs w:val="22"/>
        </w:rPr>
        <w:t xml:space="preserve"> €.</w:t>
      </w:r>
      <w:r w:rsidR="00D01E83">
        <w:rPr>
          <w:rFonts w:ascii="Arial" w:hAnsi="Arial" w:cs="Arial"/>
          <w:b/>
          <w:sz w:val="22"/>
          <w:szCs w:val="22"/>
        </w:rPr>
        <w:t xml:space="preserve"> </w:t>
      </w:r>
    </w:p>
    <w:p w14:paraId="054F3B4C" w14:textId="3A785BA4" w:rsidR="00D01E83" w:rsidRDefault="00BE635C" w:rsidP="00AD5BAF">
      <w:pPr>
        <w:jc w:val="both"/>
        <w:rPr>
          <w:rFonts w:ascii="Arial" w:hAnsi="Arial" w:cs="Arial"/>
          <w:b/>
          <w:sz w:val="22"/>
          <w:szCs w:val="22"/>
        </w:rPr>
      </w:pPr>
      <w:r>
        <w:rPr>
          <w:rFonts w:ascii="Arial" w:hAnsi="Arial" w:cs="Arial"/>
          <w:b/>
          <w:sz w:val="22"/>
          <w:szCs w:val="22"/>
        </w:rPr>
        <w:t xml:space="preserve">     </w:t>
      </w:r>
      <w:r w:rsidR="00D01E83">
        <w:rPr>
          <w:rFonts w:ascii="Arial" w:hAnsi="Arial" w:cs="Arial"/>
          <w:b/>
          <w:sz w:val="22"/>
          <w:szCs w:val="22"/>
        </w:rPr>
        <w:t xml:space="preserve">Uznesením </w:t>
      </w:r>
      <w:proofErr w:type="spellStart"/>
      <w:r w:rsidR="00D01E83">
        <w:rPr>
          <w:rFonts w:ascii="Arial" w:hAnsi="Arial" w:cs="Arial"/>
          <w:b/>
          <w:sz w:val="22"/>
          <w:szCs w:val="22"/>
        </w:rPr>
        <w:t>MiZ</w:t>
      </w:r>
      <w:proofErr w:type="spellEnd"/>
      <w:r w:rsidR="00D01E83">
        <w:rPr>
          <w:rFonts w:ascii="Arial" w:hAnsi="Arial" w:cs="Arial"/>
          <w:b/>
          <w:sz w:val="22"/>
          <w:szCs w:val="22"/>
        </w:rPr>
        <w:t xml:space="preserve"> č. 336/2018/2022 bola schválená II. Zmena rozpočtu, ktorým bol navýšený rozpočet kapitálových výdavkov </w:t>
      </w:r>
      <w:r w:rsidR="00435965">
        <w:rPr>
          <w:rFonts w:ascii="Arial" w:hAnsi="Arial" w:cs="Arial"/>
          <w:b/>
          <w:sz w:val="22"/>
          <w:szCs w:val="22"/>
        </w:rPr>
        <w:t xml:space="preserve">o </w:t>
      </w:r>
      <w:r w:rsidR="00D01E83">
        <w:rPr>
          <w:rFonts w:ascii="Arial" w:hAnsi="Arial" w:cs="Arial"/>
          <w:b/>
          <w:sz w:val="22"/>
          <w:szCs w:val="22"/>
        </w:rPr>
        <w:t>39 700,00 €, pričom bol navýšený aj rozpočet finančných operácií o 39 700,00 € - čerpanie z rezervy, ktorá bola tvorená z prebytkov rozpočtového hospodárenia minulých rokov.</w:t>
      </w:r>
    </w:p>
    <w:p w14:paraId="45B25D79" w14:textId="3615BFA1" w:rsidR="00BE635C" w:rsidRDefault="00BE635C" w:rsidP="00AD5BAF">
      <w:pPr>
        <w:jc w:val="both"/>
        <w:rPr>
          <w:rFonts w:ascii="Arial" w:hAnsi="Arial" w:cs="Arial"/>
          <w:b/>
          <w:sz w:val="22"/>
          <w:szCs w:val="22"/>
        </w:rPr>
      </w:pPr>
      <w:r>
        <w:rPr>
          <w:rFonts w:ascii="Arial" w:hAnsi="Arial" w:cs="Arial"/>
          <w:b/>
          <w:sz w:val="22"/>
          <w:szCs w:val="22"/>
        </w:rPr>
        <w:t xml:space="preserve">     Návrh na III. Zmenu rozpočtu obsahuje návrh na </w:t>
      </w:r>
      <w:r w:rsidR="00253A75">
        <w:rPr>
          <w:rFonts w:ascii="Arial" w:hAnsi="Arial" w:cs="Arial"/>
          <w:b/>
          <w:sz w:val="22"/>
          <w:szCs w:val="22"/>
        </w:rPr>
        <w:t>zvýšenie a rozpočtu kapitálových výdavkov o 1</w:t>
      </w:r>
      <w:r w:rsidR="00CF0E4F">
        <w:rPr>
          <w:rFonts w:ascii="Arial" w:hAnsi="Arial" w:cs="Arial"/>
          <w:b/>
          <w:sz w:val="22"/>
          <w:szCs w:val="22"/>
        </w:rPr>
        <w:t>03</w:t>
      </w:r>
      <w:r w:rsidR="00253A75">
        <w:rPr>
          <w:rFonts w:ascii="Arial" w:hAnsi="Arial" w:cs="Arial"/>
          <w:b/>
          <w:sz w:val="22"/>
          <w:szCs w:val="22"/>
        </w:rPr>
        <w:t> 500,00 € zo schváleného prebytku rozpočtu na rok 2021 nasledovne:</w:t>
      </w:r>
    </w:p>
    <w:p w14:paraId="0251674A" w14:textId="77777777" w:rsidR="00253A75" w:rsidRDefault="00253A75" w:rsidP="00AD5BAF">
      <w:pPr>
        <w:jc w:val="both"/>
        <w:rPr>
          <w:rFonts w:ascii="Arial" w:hAnsi="Arial" w:cs="Arial"/>
          <w:b/>
          <w:sz w:val="22"/>
          <w:szCs w:val="22"/>
        </w:rPr>
      </w:pPr>
    </w:p>
    <w:p w14:paraId="415B064F" w14:textId="19987E97" w:rsidR="00253A75" w:rsidRDefault="00253A75" w:rsidP="00253A75">
      <w:pPr>
        <w:jc w:val="both"/>
        <w:rPr>
          <w:rFonts w:ascii="Arial" w:hAnsi="Arial" w:cs="Arial"/>
          <w:b/>
          <w:sz w:val="22"/>
          <w:szCs w:val="22"/>
        </w:rPr>
      </w:pPr>
      <w:r w:rsidRPr="00183A58">
        <w:rPr>
          <w:rFonts w:ascii="Arial" w:hAnsi="Arial" w:cs="Arial"/>
          <w:b/>
          <w:sz w:val="22"/>
          <w:szCs w:val="22"/>
        </w:rPr>
        <w:t xml:space="preserve">1: </w:t>
      </w:r>
      <w:r>
        <w:rPr>
          <w:rFonts w:ascii="Arial" w:hAnsi="Arial" w:cs="Arial"/>
          <w:b/>
          <w:sz w:val="22"/>
          <w:szCs w:val="22"/>
        </w:rPr>
        <w:t>„</w:t>
      </w:r>
      <w:r w:rsidRPr="00183A58">
        <w:rPr>
          <w:rFonts w:ascii="Arial" w:hAnsi="Arial" w:cs="Arial"/>
          <w:b/>
          <w:sz w:val="22"/>
          <w:szCs w:val="22"/>
        </w:rPr>
        <w:t>Navýšenie kapitálových výdavkov na zabezpečenie IT infraštruktúry Miestneho úradu Bratislava-Podunajské Biskupice</w:t>
      </w:r>
      <w:r>
        <w:rPr>
          <w:rFonts w:ascii="Arial" w:hAnsi="Arial" w:cs="Arial"/>
          <w:b/>
          <w:sz w:val="22"/>
          <w:szCs w:val="22"/>
        </w:rPr>
        <w:t>“ o 40 000,00 €</w:t>
      </w:r>
    </w:p>
    <w:p w14:paraId="0A3D25F3" w14:textId="77777777" w:rsidR="00253A75" w:rsidRDefault="00253A75" w:rsidP="00253A75">
      <w:pPr>
        <w:jc w:val="both"/>
        <w:rPr>
          <w:rFonts w:ascii="Arial" w:hAnsi="Arial" w:cs="Arial"/>
          <w:b/>
          <w:sz w:val="22"/>
          <w:szCs w:val="22"/>
        </w:rPr>
      </w:pPr>
    </w:p>
    <w:p w14:paraId="4A3DEA6F" w14:textId="0CE3BD79" w:rsidR="00253A75" w:rsidRDefault="00253A75" w:rsidP="00253A75">
      <w:pPr>
        <w:jc w:val="both"/>
        <w:rPr>
          <w:rFonts w:ascii="Arial" w:hAnsi="Arial" w:cs="Arial"/>
          <w:b/>
          <w:sz w:val="22"/>
          <w:szCs w:val="22"/>
        </w:rPr>
      </w:pPr>
      <w:r w:rsidRPr="00183A58">
        <w:rPr>
          <w:rFonts w:ascii="Arial" w:hAnsi="Arial" w:cs="Arial"/>
          <w:b/>
          <w:sz w:val="22"/>
          <w:szCs w:val="22"/>
        </w:rPr>
        <w:t xml:space="preserve">2: Navýšenie kapitálových výdavkov na </w:t>
      </w:r>
      <w:r w:rsidR="00CF0E4F">
        <w:rPr>
          <w:rFonts w:ascii="Arial" w:hAnsi="Arial" w:cs="Arial"/>
          <w:b/>
          <w:sz w:val="22"/>
          <w:szCs w:val="22"/>
        </w:rPr>
        <w:t>pasport miestnych komunikácií, dopravného značenia, parkovísk a ich digitalizáciu</w:t>
      </w:r>
      <w:r>
        <w:rPr>
          <w:rFonts w:ascii="Arial" w:hAnsi="Arial" w:cs="Arial"/>
          <w:b/>
          <w:sz w:val="22"/>
          <w:szCs w:val="22"/>
        </w:rPr>
        <w:t xml:space="preserve"> o </w:t>
      </w:r>
      <w:r w:rsidR="00F7146D">
        <w:rPr>
          <w:rFonts w:ascii="Arial" w:hAnsi="Arial" w:cs="Arial"/>
          <w:b/>
          <w:sz w:val="22"/>
          <w:szCs w:val="22"/>
        </w:rPr>
        <w:t>55</w:t>
      </w:r>
      <w:r>
        <w:rPr>
          <w:rFonts w:ascii="Arial" w:hAnsi="Arial" w:cs="Arial"/>
          <w:b/>
          <w:sz w:val="22"/>
          <w:szCs w:val="22"/>
        </w:rPr>
        <w:t> 000,00 €</w:t>
      </w:r>
    </w:p>
    <w:p w14:paraId="0F4C17AB" w14:textId="77777777" w:rsidR="00253A75" w:rsidRDefault="00253A75" w:rsidP="00253A75">
      <w:pPr>
        <w:jc w:val="both"/>
        <w:rPr>
          <w:rFonts w:ascii="Arial" w:hAnsi="Arial" w:cs="Arial"/>
          <w:b/>
          <w:sz w:val="22"/>
          <w:szCs w:val="22"/>
        </w:rPr>
      </w:pPr>
    </w:p>
    <w:p w14:paraId="2A555D46" w14:textId="24FD043E" w:rsidR="00253A75" w:rsidRDefault="00253A75" w:rsidP="00253A75">
      <w:pPr>
        <w:jc w:val="both"/>
        <w:rPr>
          <w:rFonts w:ascii="Arial" w:hAnsi="Arial" w:cs="Arial"/>
          <w:b/>
          <w:sz w:val="22"/>
          <w:szCs w:val="22"/>
        </w:rPr>
      </w:pPr>
      <w:r w:rsidRPr="00183A58">
        <w:rPr>
          <w:rFonts w:ascii="Arial" w:hAnsi="Arial" w:cs="Arial"/>
          <w:b/>
          <w:sz w:val="22"/>
          <w:szCs w:val="22"/>
        </w:rPr>
        <w:t>3: Navýšenie kapitálových výdavkov Dodávka a montáž snehových zábran ZŠ Vetvárska</w:t>
      </w:r>
      <w:r>
        <w:rPr>
          <w:rFonts w:ascii="Arial" w:hAnsi="Arial" w:cs="Arial"/>
          <w:b/>
          <w:sz w:val="22"/>
          <w:szCs w:val="22"/>
        </w:rPr>
        <w:t xml:space="preserve"> o 8 500,00 €</w:t>
      </w:r>
    </w:p>
    <w:p w14:paraId="53F5742F" w14:textId="40EEC23B" w:rsidR="00BE635C" w:rsidRDefault="00253A75" w:rsidP="00AD5BAF">
      <w:pPr>
        <w:jc w:val="both"/>
        <w:rPr>
          <w:rFonts w:ascii="Arial" w:hAnsi="Arial" w:cs="Arial"/>
          <w:b/>
          <w:sz w:val="22"/>
          <w:szCs w:val="22"/>
        </w:rPr>
      </w:pPr>
      <w:r>
        <w:rPr>
          <w:rFonts w:ascii="Arial" w:hAnsi="Arial" w:cs="Arial"/>
          <w:b/>
          <w:sz w:val="22"/>
          <w:szCs w:val="22"/>
        </w:rPr>
        <w:t xml:space="preserve">  </w:t>
      </w:r>
    </w:p>
    <w:p w14:paraId="6167E8EC" w14:textId="77777777" w:rsidR="00D01E83" w:rsidRDefault="00D01E83" w:rsidP="00AD5BAF">
      <w:pPr>
        <w:jc w:val="both"/>
        <w:rPr>
          <w:rFonts w:ascii="Arial" w:hAnsi="Arial" w:cs="Arial"/>
          <w:b/>
          <w:sz w:val="22"/>
          <w:szCs w:val="22"/>
        </w:rPr>
      </w:pPr>
    </w:p>
    <w:p w14:paraId="0FE78CC5" w14:textId="31165746" w:rsidR="00EC3BD4" w:rsidRDefault="00AD5BAF" w:rsidP="00AD5BAF">
      <w:pPr>
        <w:jc w:val="both"/>
        <w:rPr>
          <w:rFonts w:ascii="Arial" w:hAnsi="Arial" w:cs="Arial"/>
          <w:b/>
          <w:sz w:val="22"/>
          <w:szCs w:val="22"/>
        </w:rPr>
      </w:pPr>
      <w:r w:rsidRPr="00183A58">
        <w:rPr>
          <w:rFonts w:ascii="Arial" w:hAnsi="Arial" w:cs="Arial"/>
          <w:b/>
          <w:sz w:val="22"/>
          <w:szCs w:val="22"/>
        </w:rPr>
        <w:t xml:space="preserve">Rozpočtové opatrenie 1: </w:t>
      </w:r>
      <w:r>
        <w:rPr>
          <w:rFonts w:ascii="Arial" w:hAnsi="Arial" w:cs="Arial"/>
          <w:b/>
          <w:sz w:val="22"/>
          <w:szCs w:val="22"/>
        </w:rPr>
        <w:t>„</w:t>
      </w:r>
      <w:r w:rsidRPr="00183A58">
        <w:rPr>
          <w:rFonts w:ascii="Arial" w:hAnsi="Arial" w:cs="Arial"/>
          <w:b/>
          <w:sz w:val="22"/>
          <w:szCs w:val="22"/>
        </w:rPr>
        <w:t>Navýšenie kapitálových výdavkov na zabezpečenie IT infraštruktúry Miestneho úradu Bratislava-Podunajské Biskupice</w:t>
      </w:r>
      <w:r>
        <w:rPr>
          <w:rFonts w:ascii="Arial" w:hAnsi="Arial" w:cs="Arial"/>
          <w:b/>
          <w:sz w:val="22"/>
          <w:szCs w:val="22"/>
        </w:rPr>
        <w:t>“</w:t>
      </w:r>
      <w:r w:rsidR="00CF0E4F">
        <w:rPr>
          <w:rFonts w:ascii="Arial" w:hAnsi="Arial" w:cs="Arial"/>
          <w:b/>
          <w:sz w:val="22"/>
          <w:szCs w:val="22"/>
        </w:rPr>
        <w:t xml:space="preserve"> </w:t>
      </w:r>
    </w:p>
    <w:p w14:paraId="41102C6C" w14:textId="77777777" w:rsidR="00AD5BAF" w:rsidRDefault="00AD5BAF" w:rsidP="00AD5BAF">
      <w:pPr>
        <w:jc w:val="both"/>
        <w:rPr>
          <w:rFonts w:ascii="Arial" w:hAnsi="Arial" w:cs="Arial"/>
          <w:b/>
          <w:sz w:val="22"/>
          <w:szCs w:val="22"/>
        </w:rPr>
      </w:pPr>
    </w:p>
    <w:p w14:paraId="2484F052" w14:textId="77777777" w:rsidR="00D711AB" w:rsidRDefault="00AD5BAF" w:rsidP="00AD5BAF">
      <w:pPr>
        <w:jc w:val="both"/>
        <w:rPr>
          <w:rFonts w:ascii="Arial" w:hAnsi="Arial" w:cs="Arial"/>
          <w:sz w:val="22"/>
          <w:szCs w:val="22"/>
        </w:rPr>
      </w:pPr>
      <w:r w:rsidRPr="00AD5BAF">
        <w:rPr>
          <w:rFonts w:ascii="Arial" w:hAnsi="Arial" w:cs="Arial"/>
          <w:sz w:val="22"/>
          <w:szCs w:val="22"/>
        </w:rPr>
        <w:tab/>
      </w:r>
      <w:r w:rsidR="00E815F7">
        <w:rPr>
          <w:rFonts w:ascii="Arial" w:hAnsi="Arial" w:cs="Arial"/>
          <w:sz w:val="22"/>
          <w:szCs w:val="22"/>
        </w:rPr>
        <w:t xml:space="preserve">Účelom rozpočtového opatrenia je vytvorenie položky na výdavok kapitálového rozpočtu na zabezpečenie výmeny serverov miestneho úradu </w:t>
      </w:r>
      <w:r w:rsidR="00D711AB">
        <w:rPr>
          <w:rFonts w:ascii="Arial" w:hAnsi="Arial" w:cs="Arial"/>
          <w:sz w:val="22"/>
          <w:szCs w:val="22"/>
        </w:rPr>
        <w:t xml:space="preserve">a zabezpečenie automatizovaného chráneného dátového úložiska. </w:t>
      </w:r>
    </w:p>
    <w:p w14:paraId="1B043F66" w14:textId="77777777" w:rsidR="00AD5BAF" w:rsidRPr="00AD5BAF" w:rsidRDefault="00AD5BAF" w:rsidP="00D711AB">
      <w:pPr>
        <w:ind w:firstLine="708"/>
        <w:jc w:val="both"/>
        <w:rPr>
          <w:rFonts w:ascii="Arial" w:hAnsi="Arial" w:cs="Arial"/>
          <w:sz w:val="22"/>
          <w:szCs w:val="22"/>
        </w:rPr>
      </w:pPr>
      <w:r w:rsidRPr="00AD5BAF">
        <w:rPr>
          <w:rFonts w:ascii="Arial" w:hAnsi="Arial" w:cs="Arial"/>
          <w:sz w:val="22"/>
          <w:szCs w:val="22"/>
        </w:rPr>
        <w:t>Hlavné body infraštruktúry Miestneho úradu sú zastarané a nespĺňajú potrebný štandard požadovaný v súčasnej dobe. Súčasný hardvér už výkonovo a bezpečnostne nespĺňa požiadavky na bezpečnosť a flexibilitu, potrebnú pre nasadenie vo verejnej správe a z toho dôvodu je potrebná výmena chrbticových častí siete a zriadenie centrálneho automatického úložiska dát na archiváciu a ochranu dát pred zničením, stratou, či odcudzením.</w:t>
      </w:r>
    </w:p>
    <w:p w14:paraId="0D00FC15" w14:textId="2668DAEC" w:rsidR="00AD5BAF" w:rsidRPr="00AD5BAF" w:rsidRDefault="00AD5BAF" w:rsidP="00AD5BAF">
      <w:pPr>
        <w:jc w:val="both"/>
        <w:rPr>
          <w:rFonts w:ascii="Arial" w:hAnsi="Arial" w:cs="Arial"/>
          <w:sz w:val="22"/>
          <w:szCs w:val="22"/>
        </w:rPr>
      </w:pPr>
      <w:r w:rsidRPr="00AD5BAF">
        <w:rPr>
          <w:rFonts w:ascii="Arial" w:hAnsi="Arial" w:cs="Arial"/>
          <w:sz w:val="22"/>
          <w:szCs w:val="22"/>
        </w:rPr>
        <w:tab/>
        <w:t xml:space="preserve">Hlavný dátový server a emailový server Miestneho úradu už neumožňujú žiadny upgrade aby spĺňali nové </w:t>
      </w:r>
      <w:r w:rsidR="00053597">
        <w:rPr>
          <w:rFonts w:ascii="Arial" w:hAnsi="Arial" w:cs="Arial"/>
          <w:sz w:val="22"/>
          <w:szCs w:val="22"/>
        </w:rPr>
        <w:t xml:space="preserve">zákonné </w:t>
      </w:r>
      <w:r w:rsidRPr="00AD5BAF">
        <w:rPr>
          <w:rFonts w:ascii="Arial" w:hAnsi="Arial" w:cs="Arial"/>
          <w:sz w:val="22"/>
          <w:szCs w:val="22"/>
        </w:rPr>
        <w:t>štandardy a z toho dôvodu je potrebná ich výmena. Na zabezpečenie archivácie a ochrany dát pred zničením, stratou, je potrebné zriadiť veľkokapacitné zabezpečené úložisko dát (NAS).</w:t>
      </w:r>
    </w:p>
    <w:p w14:paraId="79D364CD" w14:textId="6D315504" w:rsidR="00AD5BAF" w:rsidRPr="00AD5BAF" w:rsidRDefault="00AD5BAF" w:rsidP="00AD5BAF">
      <w:pPr>
        <w:jc w:val="both"/>
        <w:rPr>
          <w:rFonts w:ascii="Arial" w:hAnsi="Arial" w:cs="Arial"/>
          <w:sz w:val="22"/>
          <w:szCs w:val="22"/>
        </w:rPr>
      </w:pPr>
      <w:r w:rsidRPr="00AD5BAF">
        <w:rPr>
          <w:rFonts w:ascii="Arial" w:hAnsi="Arial" w:cs="Arial"/>
          <w:sz w:val="22"/>
          <w:szCs w:val="22"/>
        </w:rPr>
        <w:tab/>
        <w:t>V súvislosti s potrebou zavedenia informačných technológií na Miestnom úrade v súlade so zákonnými požiadavkami (Zákon č. 69/2018 Z.</w:t>
      </w:r>
      <w:r w:rsidR="00D711AB">
        <w:rPr>
          <w:rFonts w:ascii="Arial" w:hAnsi="Arial" w:cs="Arial"/>
          <w:sz w:val="22"/>
          <w:szCs w:val="22"/>
        </w:rPr>
        <w:t xml:space="preserve"> </w:t>
      </w:r>
      <w:r w:rsidRPr="00AD5BAF">
        <w:rPr>
          <w:rFonts w:ascii="Arial" w:hAnsi="Arial" w:cs="Arial"/>
          <w:sz w:val="22"/>
          <w:szCs w:val="22"/>
        </w:rPr>
        <w:t>z. o kybernetickej bezpečnosti</w:t>
      </w:r>
      <w:r w:rsidR="00D711AB">
        <w:rPr>
          <w:rFonts w:ascii="Arial" w:hAnsi="Arial" w:cs="Arial"/>
          <w:sz w:val="22"/>
          <w:szCs w:val="22"/>
        </w:rPr>
        <w:t xml:space="preserve"> </w:t>
      </w:r>
      <w:r w:rsidR="00D711AB" w:rsidRPr="00053597">
        <w:rPr>
          <w:rFonts w:ascii="Arial" w:hAnsi="Arial" w:cs="Arial"/>
          <w:sz w:val="22"/>
          <w:szCs w:val="22"/>
        </w:rPr>
        <w:t xml:space="preserve">a Zákon č. 95/2019 Z. z. </w:t>
      </w:r>
      <w:r w:rsidR="00D711AB" w:rsidRPr="00053597">
        <w:rPr>
          <w:rFonts w:ascii="Arial" w:hAnsi="Arial" w:cs="Arial"/>
          <w:sz w:val="22"/>
          <w:szCs w:val="22"/>
          <w:shd w:val="clear" w:color="auto" w:fill="FFFFFF"/>
        </w:rPr>
        <w:t>o informačných technológiách vo verejnej správe</w:t>
      </w:r>
      <w:r w:rsidRPr="00053597">
        <w:rPr>
          <w:rFonts w:ascii="Arial" w:hAnsi="Arial" w:cs="Arial"/>
          <w:sz w:val="22"/>
          <w:szCs w:val="22"/>
        </w:rPr>
        <w:t>) je nevyhnutné</w:t>
      </w:r>
      <w:r w:rsidRPr="00AD5BAF">
        <w:rPr>
          <w:rFonts w:ascii="Arial" w:hAnsi="Arial" w:cs="Arial"/>
          <w:sz w:val="22"/>
          <w:szCs w:val="22"/>
        </w:rPr>
        <w:t xml:space="preserve"> pristúpiť k zásadným bezpečnostným opatreniam, aby IT technológie Miestneho úradu spĺňali aktuálne zákonné štandardy pre GDPR ako aj z hľadiska kybernetickej bezpečnosti. Zámerom je jednak predísť stratám údajov ako aj zavedenie opatrení na elimináciu rizík analyzovaných a definovaných v spracovanej dokumentácii ku kybernetickej bezpečnosti. Zároveň je aj cieľom zabezpečenie adekvátneho technického riešenia pre zabezpečenie dostatočného </w:t>
      </w:r>
      <w:r w:rsidRPr="00AD5BAF">
        <w:rPr>
          <w:rFonts w:ascii="Arial" w:hAnsi="Arial" w:cs="Arial"/>
          <w:sz w:val="22"/>
          <w:szCs w:val="22"/>
        </w:rPr>
        <w:lastRenderedPageBreak/>
        <w:t>dátového priestoru pre nasadenie nového softvérového vybavenia a zefektívnenie fungovania technickej infraštruktúry, čo prispeje aj k lepšej komunikácii s občanmi prostredníctvom elektronických služieb, ktoré môžu byť ďalej rozširované pre zlepšenie prístupu občanov k službám Miestneho úradu.</w:t>
      </w:r>
    </w:p>
    <w:p w14:paraId="3DCF0F00" w14:textId="77777777" w:rsidR="00AD5BAF" w:rsidRDefault="00AD5BAF" w:rsidP="00AD5BAF">
      <w:pPr>
        <w:jc w:val="both"/>
      </w:pPr>
    </w:p>
    <w:tbl>
      <w:tblPr>
        <w:tblStyle w:val="Mriekatabuky"/>
        <w:tblW w:w="9067" w:type="dxa"/>
        <w:tblLook w:val="04A0" w:firstRow="1" w:lastRow="0" w:firstColumn="1" w:lastColumn="0" w:noHBand="0" w:noVBand="1"/>
      </w:tblPr>
      <w:tblGrid>
        <w:gridCol w:w="6091"/>
        <w:gridCol w:w="2976"/>
      </w:tblGrid>
      <w:tr w:rsidR="00AD5BAF" w:rsidRPr="00AD5BAF" w14:paraId="1E812D0C" w14:textId="77777777" w:rsidTr="00CC2752">
        <w:tc>
          <w:tcPr>
            <w:tcW w:w="6091" w:type="dxa"/>
            <w:shd w:val="pct15" w:color="auto" w:fill="auto"/>
          </w:tcPr>
          <w:p w14:paraId="4B7F36A9" w14:textId="77777777" w:rsidR="00AD5BAF" w:rsidRPr="00AD5BAF" w:rsidRDefault="00AD5BAF" w:rsidP="00CC2752">
            <w:pPr>
              <w:jc w:val="both"/>
              <w:rPr>
                <w:rFonts w:ascii="Arial" w:hAnsi="Arial" w:cs="Arial"/>
                <w:b/>
              </w:rPr>
            </w:pPr>
            <w:r w:rsidRPr="00AD5BAF">
              <w:rPr>
                <w:rFonts w:ascii="Arial" w:hAnsi="Arial" w:cs="Arial"/>
                <w:b/>
              </w:rPr>
              <w:t>Označenie potreby</w:t>
            </w:r>
          </w:p>
        </w:tc>
        <w:tc>
          <w:tcPr>
            <w:tcW w:w="2976" w:type="dxa"/>
            <w:shd w:val="pct15" w:color="auto" w:fill="auto"/>
          </w:tcPr>
          <w:p w14:paraId="6A60CC0E" w14:textId="77777777" w:rsidR="00AD5BAF" w:rsidRPr="00AD5BAF" w:rsidRDefault="00AD5BAF" w:rsidP="00CC2752">
            <w:pPr>
              <w:jc w:val="right"/>
              <w:rPr>
                <w:rFonts w:ascii="Arial" w:hAnsi="Arial" w:cs="Arial"/>
                <w:b/>
              </w:rPr>
            </w:pPr>
            <w:r w:rsidRPr="00AD5BAF">
              <w:rPr>
                <w:rFonts w:ascii="Arial" w:hAnsi="Arial" w:cs="Arial"/>
                <w:b/>
              </w:rPr>
              <w:t>Finančná kalkulácia</w:t>
            </w:r>
          </w:p>
        </w:tc>
      </w:tr>
      <w:tr w:rsidR="00AD5BAF" w:rsidRPr="00AD5BAF" w14:paraId="59889FBD" w14:textId="77777777" w:rsidTr="00CC2752">
        <w:tc>
          <w:tcPr>
            <w:tcW w:w="6091" w:type="dxa"/>
          </w:tcPr>
          <w:p w14:paraId="5CA9F7C7" w14:textId="77777777" w:rsidR="00AD5BAF" w:rsidRPr="00AD5BAF" w:rsidRDefault="00AD5BAF" w:rsidP="00CC2752">
            <w:pPr>
              <w:jc w:val="both"/>
              <w:rPr>
                <w:rFonts w:ascii="Arial" w:hAnsi="Arial" w:cs="Arial"/>
                <w:b/>
              </w:rPr>
            </w:pPr>
            <w:r w:rsidRPr="00AD5BAF">
              <w:rPr>
                <w:rFonts w:ascii="Arial" w:hAnsi="Arial" w:cs="Arial"/>
                <w:b/>
              </w:rPr>
              <w:t>Hlavný dátový server + softvér a licencie</w:t>
            </w:r>
          </w:p>
        </w:tc>
        <w:tc>
          <w:tcPr>
            <w:tcW w:w="2976" w:type="dxa"/>
          </w:tcPr>
          <w:p w14:paraId="7F938600" w14:textId="77777777" w:rsidR="00AD5BAF" w:rsidRPr="00AD5BAF" w:rsidRDefault="00AD5BAF" w:rsidP="00CC2752">
            <w:pPr>
              <w:jc w:val="right"/>
              <w:rPr>
                <w:rFonts w:ascii="Arial" w:hAnsi="Arial" w:cs="Arial"/>
                <w:b/>
              </w:rPr>
            </w:pPr>
            <w:r w:rsidRPr="00AD5BAF">
              <w:rPr>
                <w:rFonts w:ascii="Arial" w:hAnsi="Arial" w:cs="Arial"/>
                <w:b/>
              </w:rPr>
              <w:t xml:space="preserve">  15</w:t>
            </w:r>
            <w:r w:rsidR="00256307">
              <w:rPr>
                <w:rFonts w:ascii="Arial" w:hAnsi="Arial" w:cs="Arial"/>
                <w:b/>
              </w:rPr>
              <w:t>.</w:t>
            </w:r>
            <w:r w:rsidRPr="00AD5BAF">
              <w:rPr>
                <w:rFonts w:ascii="Arial" w:hAnsi="Arial" w:cs="Arial"/>
                <w:b/>
              </w:rPr>
              <w:t>000</w:t>
            </w:r>
            <w:r w:rsidR="00256307">
              <w:rPr>
                <w:rFonts w:ascii="Arial" w:hAnsi="Arial" w:cs="Arial"/>
                <w:b/>
              </w:rPr>
              <w:t>,00</w:t>
            </w:r>
            <w:r w:rsidRPr="00AD5BAF">
              <w:rPr>
                <w:rFonts w:ascii="Arial" w:hAnsi="Arial" w:cs="Arial"/>
                <w:b/>
              </w:rPr>
              <w:t xml:space="preserve"> €</w:t>
            </w:r>
          </w:p>
        </w:tc>
      </w:tr>
      <w:tr w:rsidR="00AD5BAF" w:rsidRPr="00AD5BAF" w14:paraId="42D19F43" w14:textId="77777777" w:rsidTr="00CC2752">
        <w:tc>
          <w:tcPr>
            <w:tcW w:w="6091" w:type="dxa"/>
          </w:tcPr>
          <w:p w14:paraId="69650BAC" w14:textId="77777777" w:rsidR="00AD5BAF" w:rsidRPr="00AD5BAF" w:rsidRDefault="00AD5BAF" w:rsidP="00CC2752">
            <w:pPr>
              <w:jc w:val="both"/>
              <w:rPr>
                <w:rFonts w:ascii="Arial" w:hAnsi="Arial" w:cs="Arial"/>
                <w:b/>
              </w:rPr>
            </w:pPr>
            <w:r w:rsidRPr="00AD5BAF">
              <w:rPr>
                <w:rFonts w:ascii="Arial" w:hAnsi="Arial" w:cs="Arial"/>
                <w:b/>
              </w:rPr>
              <w:t>Emailový server + softvér a licencie</w:t>
            </w:r>
          </w:p>
        </w:tc>
        <w:tc>
          <w:tcPr>
            <w:tcW w:w="2976" w:type="dxa"/>
          </w:tcPr>
          <w:p w14:paraId="647DA28B" w14:textId="77777777" w:rsidR="00AD5BAF" w:rsidRPr="00AD5BAF" w:rsidRDefault="00AD5BAF" w:rsidP="00CC2752">
            <w:pPr>
              <w:jc w:val="right"/>
              <w:rPr>
                <w:rFonts w:ascii="Arial" w:hAnsi="Arial" w:cs="Arial"/>
                <w:b/>
              </w:rPr>
            </w:pPr>
            <w:r w:rsidRPr="00AD5BAF">
              <w:rPr>
                <w:rFonts w:ascii="Arial" w:hAnsi="Arial" w:cs="Arial"/>
                <w:b/>
              </w:rPr>
              <w:t>20</w:t>
            </w:r>
            <w:r w:rsidR="00256307">
              <w:rPr>
                <w:rFonts w:ascii="Arial" w:hAnsi="Arial" w:cs="Arial"/>
                <w:b/>
              </w:rPr>
              <w:t>.</w:t>
            </w:r>
            <w:r w:rsidRPr="00AD5BAF">
              <w:rPr>
                <w:rFonts w:ascii="Arial" w:hAnsi="Arial" w:cs="Arial"/>
                <w:b/>
              </w:rPr>
              <w:t>000</w:t>
            </w:r>
            <w:r w:rsidR="00256307">
              <w:rPr>
                <w:rFonts w:ascii="Arial" w:hAnsi="Arial" w:cs="Arial"/>
                <w:b/>
              </w:rPr>
              <w:t>,00</w:t>
            </w:r>
            <w:r w:rsidRPr="00AD5BAF">
              <w:rPr>
                <w:rFonts w:ascii="Arial" w:hAnsi="Arial" w:cs="Arial"/>
                <w:b/>
              </w:rPr>
              <w:t xml:space="preserve"> €</w:t>
            </w:r>
          </w:p>
        </w:tc>
      </w:tr>
      <w:tr w:rsidR="00AD5BAF" w:rsidRPr="00AD5BAF" w14:paraId="2EE1F367" w14:textId="77777777" w:rsidTr="00CC2752">
        <w:tc>
          <w:tcPr>
            <w:tcW w:w="6091" w:type="dxa"/>
            <w:tcBorders>
              <w:bottom w:val="single" w:sz="4" w:space="0" w:color="auto"/>
            </w:tcBorders>
          </w:tcPr>
          <w:p w14:paraId="7ED7B556" w14:textId="77777777" w:rsidR="00AD5BAF" w:rsidRPr="00AD5BAF" w:rsidRDefault="00AD5BAF" w:rsidP="00CC2752">
            <w:pPr>
              <w:jc w:val="both"/>
              <w:rPr>
                <w:rFonts w:ascii="Arial" w:hAnsi="Arial" w:cs="Arial"/>
                <w:b/>
              </w:rPr>
            </w:pPr>
            <w:r w:rsidRPr="00AD5BAF">
              <w:rPr>
                <w:rFonts w:ascii="Arial" w:hAnsi="Arial" w:cs="Arial"/>
                <w:b/>
              </w:rPr>
              <w:t>Veľkokapacitné úložisko dát (NAS)</w:t>
            </w:r>
          </w:p>
        </w:tc>
        <w:tc>
          <w:tcPr>
            <w:tcW w:w="2976" w:type="dxa"/>
            <w:tcBorders>
              <w:bottom w:val="single" w:sz="4" w:space="0" w:color="auto"/>
            </w:tcBorders>
          </w:tcPr>
          <w:p w14:paraId="3454A8F1" w14:textId="77777777" w:rsidR="00AD5BAF" w:rsidRPr="00AD5BAF" w:rsidRDefault="00AD5BAF" w:rsidP="00CC2752">
            <w:pPr>
              <w:jc w:val="right"/>
              <w:rPr>
                <w:rFonts w:ascii="Arial" w:hAnsi="Arial" w:cs="Arial"/>
                <w:b/>
              </w:rPr>
            </w:pPr>
            <w:r w:rsidRPr="00AD5BAF">
              <w:rPr>
                <w:rFonts w:ascii="Arial" w:hAnsi="Arial" w:cs="Arial"/>
                <w:b/>
              </w:rPr>
              <w:t>5</w:t>
            </w:r>
            <w:r w:rsidR="00256307">
              <w:rPr>
                <w:rFonts w:ascii="Arial" w:hAnsi="Arial" w:cs="Arial"/>
                <w:b/>
              </w:rPr>
              <w:t>.</w:t>
            </w:r>
            <w:r w:rsidRPr="00AD5BAF">
              <w:rPr>
                <w:rFonts w:ascii="Arial" w:hAnsi="Arial" w:cs="Arial"/>
                <w:b/>
              </w:rPr>
              <w:t>000</w:t>
            </w:r>
            <w:r w:rsidR="00256307">
              <w:rPr>
                <w:rFonts w:ascii="Arial" w:hAnsi="Arial" w:cs="Arial"/>
                <w:b/>
              </w:rPr>
              <w:t>,00</w:t>
            </w:r>
            <w:r w:rsidRPr="00AD5BAF">
              <w:rPr>
                <w:rFonts w:ascii="Arial" w:hAnsi="Arial" w:cs="Arial"/>
                <w:b/>
              </w:rPr>
              <w:t xml:space="preserve"> €</w:t>
            </w:r>
          </w:p>
        </w:tc>
      </w:tr>
      <w:tr w:rsidR="00AD5BAF" w:rsidRPr="00AD5BAF" w14:paraId="6FD7381C" w14:textId="77777777" w:rsidTr="00CC2752">
        <w:tc>
          <w:tcPr>
            <w:tcW w:w="6091" w:type="dxa"/>
            <w:shd w:val="pct10" w:color="auto" w:fill="auto"/>
          </w:tcPr>
          <w:p w14:paraId="2D4385B2" w14:textId="77777777" w:rsidR="00AD5BAF" w:rsidRPr="00AD5BAF" w:rsidRDefault="00AD5BAF" w:rsidP="00CC2752">
            <w:pPr>
              <w:jc w:val="both"/>
              <w:rPr>
                <w:rFonts w:ascii="Arial" w:hAnsi="Arial" w:cs="Arial"/>
                <w:b/>
              </w:rPr>
            </w:pPr>
            <w:r w:rsidRPr="00AD5BAF">
              <w:rPr>
                <w:rFonts w:ascii="Arial" w:hAnsi="Arial" w:cs="Arial"/>
                <w:b/>
              </w:rPr>
              <w:t>Celkom</w:t>
            </w:r>
          </w:p>
        </w:tc>
        <w:tc>
          <w:tcPr>
            <w:tcW w:w="2976" w:type="dxa"/>
            <w:shd w:val="pct10" w:color="auto" w:fill="auto"/>
          </w:tcPr>
          <w:p w14:paraId="126CB7E3" w14:textId="77777777" w:rsidR="00AD5BAF" w:rsidRPr="00AD5BAF" w:rsidRDefault="00AD5BAF" w:rsidP="00CC2752">
            <w:pPr>
              <w:jc w:val="right"/>
              <w:rPr>
                <w:rFonts w:ascii="Arial" w:hAnsi="Arial" w:cs="Arial"/>
                <w:b/>
              </w:rPr>
            </w:pPr>
            <w:r w:rsidRPr="00AD5BAF">
              <w:rPr>
                <w:rFonts w:ascii="Arial" w:hAnsi="Arial" w:cs="Arial"/>
                <w:b/>
              </w:rPr>
              <w:t>40</w:t>
            </w:r>
            <w:r w:rsidR="00256307">
              <w:rPr>
                <w:rFonts w:ascii="Arial" w:hAnsi="Arial" w:cs="Arial"/>
                <w:b/>
              </w:rPr>
              <w:t>.</w:t>
            </w:r>
            <w:r w:rsidRPr="00AD5BAF">
              <w:rPr>
                <w:rFonts w:ascii="Arial" w:hAnsi="Arial" w:cs="Arial"/>
                <w:b/>
              </w:rPr>
              <w:t>000</w:t>
            </w:r>
            <w:r w:rsidR="00256307">
              <w:rPr>
                <w:rFonts w:ascii="Arial" w:hAnsi="Arial" w:cs="Arial"/>
                <w:b/>
              </w:rPr>
              <w:t>,00</w:t>
            </w:r>
            <w:r w:rsidRPr="00AD5BAF">
              <w:rPr>
                <w:rFonts w:ascii="Arial" w:hAnsi="Arial" w:cs="Arial"/>
                <w:b/>
              </w:rPr>
              <w:t xml:space="preserve"> €</w:t>
            </w:r>
          </w:p>
        </w:tc>
      </w:tr>
    </w:tbl>
    <w:p w14:paraId="2E90704D" w14:textId="77777777" w:rsidR="00AD5BAF" w:rsidRDefault="00AD5BAF" w:rsidP="00AD5BAF">
      <w:pPr>
        <w:jc w:val="both"/>
      </w:pPr>
    </w:p>
    <w:p w14:paraId="763103A0" w14:textId="77777777" w:rsidR="00AD5BAF" w:rsidRDefault="00256307" w:rsidP="00256307">
      <w:pPr>
        <w:ind w:firstLine="708"/>
        <w:jc w:val="both"/>
        <w:rPr>
          <w:rFonts w:ascii="Arial" w:hAnsi="Arial" w:cs="Arial"/>
          <w:sz w:val="22"/>
          <w:szCs w:val="22"/>
        </w:rPr>
      </w:pPr>
      <w:r w:rsidRPr="00AD5BAF">
        <w:rPr>
          <w:rFonts w:ascii="Arial" w:hAnsi="Arial" w:cs="Arial"/>
          <w:sz w:val="22"/>
          <w:szCs w:val="22"/>
        </w:rPr>
        <w:t>Vzhľadom na vyššie uvedené žiadame vytvorenie položky výdavok kapitálového rozpočtu vo výške</w:t>
      </w:r>
      <w:r>
        <w:rPr>
          <w:rFonts w:ascii="Arial" w:hAnsi="Arial" w:cs="Arial"/>
          <w:sz w:val="22"/>
          <w:szCs w:val="22"/>
        </w:rPr>
        <w:t xml:space="preserve"> </w:t>
      </w:r>
      <w:r w:rsidRPr="00256307">
        <w:rPr>
          <w:rFonts w:ascii="Arial" w:hAnsi="Arial" w:cs="Arial"/>
          <w:b/>
          <w:bCs/>
          <w:sz w:val="22"/>
          <w:szCs w:val="22"/>
        </w:rPr>
        <w:t>40.000</w:t>
      </w:r>
      <w:r>
        <w:rPr>
          <w:rFonts w:ascii="Arial" w:hAnsi="Arial" w:cs="Arial"/>
          <w:b/>
          <w:bCs/>
          <w:sz w:val="22"/>
          <w:szCs w:val="22"/>
        </w:rPr>
        <w:t xml:space="preserve">,00 </w:t>
      </w:r>
      <w:r w:rsidRPr="00256307">
        <w:rPr>
          <w:b/>
          <w:bCs/>
        </w:rPr>
        <w:t>€</w:t>
      </w:r>
      <w:r>
        <w:rPr>
          <w:rFonts w:ascii="Arial" w:hAnsi="Arial" w:cs="Arial"/>
          <w:sz w:val="22"/>
          <w:szCs w:val="22"/>
        </w:rPr>
        <w:t xml:space="preserve"> na zabezpečenie výmeny serverov miestneho úradu a zabezpečenie automatizovaného chráneného dátového úložiska.</w:t>
      </w:r>
    </w:p>
    <w:p w14:paraId="5165002B" w14:textId="77777777" w:rsidR="00256307" w:rsidRDefault="00256307" w:rsidP="00AD5BAF">
      <w:pPr>
        <w:jc w:val="both"/>
      </w:pPr>
    </w:p>
    <w:p w14:paraId="2AC452F4" w14:textId="2D6C26E2" w:rsidR="00AD5BAF" w:rsidRDefault="00AD5BAF" w:rsidP="00AD5BAF">
      <w:pPr>
        <w:jc w:val="both"/>
      </w:pPr>
      <w:r w:rsidRPr="00183A58">
        <w:rPr>
          <w:rFonts w:ascii="Arial" w:hAnsi="Arial" w:cs="Arial"/>
          <w:b/>
          <w:sz w:val="22"/>
          <w:szCs w:val="22"/>
        </w:rPr>
        <w:t>Rozpočtové opatrenie 2:</w:t>
      </w:r>
      <w:r w:rsidR="00CF0E4F">
        <w:rPr>
          <w:rFonts w:ascii="Arial" w:hAnsi="Arial" w:cs="Arial"/>
          <w:b/>
          <w:sz w:val="22"/>
          <w:szCs w:val="22"/>
        </w:rPr>
        <w:t xml:space="preserve"> </w:t>
      </w:r>
      <w:r w:rsidRPr="00183A58">
        <w:rPr>
          <w:rFonts w:ascii="Arial" w:hAnsi="Arial" w:cs="Arial"/>
          <w:b/>
          <w:sz w:val="22"/>
          <w:szCs w:val="22"/>
        </w:rPr>
        <w:t xml:space="preserve">Navýšenie kapitálových výdavkov na obstaranie </w:t>
      </w:r>
      <w:r w:rsidR="007B7012">
        <w:rPr>
          <w:rFonts w:ascii="Arial" w:hAnsi="Arial" w:cs="Arial"/>
          <w:b/>
          <w:sz w:val="22"/>
          <w:szCs w:val="22"/>
        </w:rPr>
        <w:t>p</w:t>
      </w:r>
      <w:r w:rsidR="00F7146D">
        <w:rPr>
          <w:rFonts w:ascii="Arial" w:hAnsi="Arial" w:cs="Arial"/>
          <w:b/>
          <w:sz w:val="22"/>
          <w:szCs w:val="22"/>
        </w:rPr>
        <w:t>asportu miestnych komunikácií, dopravného značenia, parkovísk a ich digitalizácia</w:t>
      </w:r>
      <w:r w:rsidR="00CF0E4F">
        <w:rPr>
          <w:rFonts w:ascii="Arial" w:hAnsi="Arial" w:cs="Arial"/>
          <w:b/>
          <w:sz w:val="22"/>
          <w:szCs w:val="22"/>
        </w:rPr>
        <w:t xml:space="preserve"> </w:t>
      </w:r>
    </w:p>
    <w:p w14:paraId="3CD2CA50" w14:textId="7D7123D6" w:rsidR="00F7146D" w:rsidRPr="004C15A1" w:rsidRDefault="00F7146D" w:rsidP="00F7146D">
      <w:pPr>
        <w:jc w:val="both"/>
        <w:rPr>
          <w:rFonts w:ascii="Arial" w:hAnsi="Arial" w:cs="Arial"/>
          <w:sz w:val="22"/>
          <w:szCs w:val="22"/>
        </w:rPr>
      </w:pPr>
      <w:r w:rsidRPr="004C15A1">
        <w:rPr>
          <w:rFonts w:ascii="Arial" w:hAnsi="Arial" w:cs="Arial"/>
          <w:sz w:val="22"/>
          <w:szCs w:val="22"/>
        </w:rPr>
        <w:t>Účelom rozpočtového opatrenia je vytvorenie položky na obstaranie  pasportu miestnych komunikácií, dopravného značenia a parkovísk. Pasport budú digitalizované s cieľom následne ich využívať v geografickom informačnom systéme, ktorý mestská časť zakúpila v predchádzajúcom období. Dokumentácia bude obsahovať analytickú časť a návrhovú časť (napr. možná reorganizácia, zvýšenie bezpečnosti , debarierizácia, a pod.). Inventarizácia tiež bude obsahovať situácie dopravného značenia (zvislého), majetkovoprávne pomery, zhodnotenie stavu  komunikácií a spevnených plôch a dopravných.</w:t>
      </w:r>
    </w:p>
    <w:p w14:paraId="7DA840C4" w14:textId="77777777" w:rsidR="00F7146D" w:rsidRPr="004C15A1" w:rsidRDefault="00F7146D" w:rsidP="00F7146D">
      <w:pPr>
        <w:jc w:val="both"/>
        <w:rPr>
          <w:rFonts w:ascii="Arial" w:hAnsi="Arial" w:cs="Arial"/>
          <w:sz w:val="22"/>
          <w:szCs w:val="22"/>
        </w:rPr>
      </w:pPr>
      <w:r w:rsidRPr="004C15A1">
        <w:rPr>
          <w:rFonts w:ascii="Arial" w:hAnsi="Arial" w:cs="Arial"/>
          <w:sz w:val="22"/>
          <w:szCs w:val="22"/>
        </w:rPr>
        <w:t>Pasport je taktiež nevyhnutným nástrojom pre prípravu, spracovanie pripravovanej parkovacej politiky na území mestskej časti. Inventarizácia je nevyhnutným podkladom taktiež pre plán letnej, zimnej údržby a jej následnú kontrolu.</w:t>
      </w:r>
    </w:p>
    <w:p w14:paraId="3AC99A03" w14:textId="77777777" w:rsidR="00F7146D" w:rsidRPr="004C15A1" w:rsidRDefault="00F7146D" w:rsidP="00F7146D">
      <w:pPr>
        <w:jc w:val="both"/>
        <w:rPr>
          <w:rFonts w:ascii="Arial" w:hAnsi="Arial" w:cs="Arial"/>
          <w:sz w:val="22"/>
          <w:szCs w:val="22"/>
        </w:rPr>
      </w:pPr>
      <w:r w:rsidRPr="004C15A1">
        <w:rPr>
          <w:rFonts w:ascii="Arial" w:hAnsi="Arial" w:cs="Arial"/>
          <w:sz w:val="22"/>
          <w:szCs w:val="22"/>
        </w:rPr>
        <w:t>Vzhľadom na vyššie uvedené žiadame vytvorenie položky výdavok kapitálového rozpočtu vo výške 55.000 EUR za účelom spracovania vyššie uvedeného dokumentu. Indikatívna ponuka vyššie uvedeného pasportu je cca 45.000 EUR. Pri spracovaní pasportu bude nevyhnutné taktiež zakúpiť letecké snímky cca 5.000 EUR, jestvujúce technické mapy (magistrát, BVS, Siemens a pod.)  cca 5.000 EUR.</w:t>
      </w:r>
    </w:p>
    <w:p w14:paraId="0B08392F" w14:textId="442E73EC" w:rsidR="00AD5BAF" w:rsidRPr="00AD5BAF" w:rsidRDefault="00AD5BAF" w:rsidP="00AD5BAF">
      <w:pPr>
        <w:ind w:firstLine="708"/>
        <w:jc w:val="both"/>
        <w:rPr>
          <w:rFonts w:ascii="Arial" w:hAnsi="Arial" w:cs="Arial"/>
          <w:sz w:val="22"/>
          <w:szCs w:val="22"/>
        </w:rPr>
      </w:pPr>
      <w:r w:rsidRPr="00AD5BAF">
        <w:rPr>
          <w:rFonts w:ascii="Arial" w:hAnsi="Arial" w:cs="Arial"/>
          <w:sz w:val="22"/>
          <w:szCs w:val="22"/>
        </w:rPr>
        <w:t xml:space="preserve">Vzhľadom na vyššie uvedené žiadame vytvorenie položky výdavok kapitálového rozpočtu vo výške </w:t>
      </w:r>
      <w:r w:rsidR="00F7146D">
        <w:rPr>
          <w:rFonts w:ascii="Arial" w:hAnsi="Arial" w:cs="Arial"/>
          <w:b/>
          <w:bCs/>
          <w:sz w:val="22"/>
          <w:szCs w:val="22"/>
        </w:rPr>
        <w:t>55</w:t>
      </w:r>
      <w:r w:rsidRPr="00AD5BAF">
        <w:rPr>
          <w:rFonts w:ascii="Arial" w:hAnsi="Arial" w:cs="Arial"/>
          <w:b/>
          <w:bCs/>
          <w:sz w:val="22"/>
          <w:szCs w:val="22"/>
        </w:rPr>
        <w:t>.000</w:t>
      </w:r>
      <w:r w:rsidR="00256307">
        <w:rPr>
          <w:rFonts w:ascii="Arial" w:hAnsi="Arial" w:cs="Arial"/>
          <w:b/>
          <w:bCs/>
          <w:sz w:val="22"/>
          <w:szCs w:val="22"/>
        </w:rPr>
        <w:t xml:space="preserve">,00 </w:t>
      </w:r>
      <w:r w:rsidR="00256307" w:rsidRPr="00256307">
        <w:rPr>
          <w:b/>
          <w:bCs/>
        </w:rPr>
        <w:t>€</w:t>
      </w:r>
      <w:r w:rsidRPr="00AD5BAF">
        <w:rPr>
          <w:rFonts w:ascii="Arial" w:hAnsi="Arial" w:cs="Arial"/>
          <w:b/>
          <w:bCs/>
          <w:sz w:val="22"/>
          <w:szCs w:val="22"/>
        </w:rPr>
        <w:t xml:space="preserve"> </w:t>
      </w:r>
      <w:r w:rsidRPr="00AD5BAF">
        <w:rPr>
          <w:rFonts w:ascii="Arial" w:hAnsi="Arial" w:cs="Arial"/>
          <w:sz w:val="22"/>
          <w:szCs w:val="22"/>
        </w:rPr>
        <w:t>za účelom spracovania vyššie uvedených dokumentov.</w:t>
      </w:r>
    </w:p>
    <w:p w14:paraId="558684EF" w14:textId="77777777" w:rsidR="00D711AB" w:rsidRDefault="00D711AB" w:rsidP="00AD5BAF">
      <w:pPr>
        <w:jc w:val="both"/>
        <w:rPr>
          <w:rFonts w:ascii="Arial" w:hAnsi="Arial" w:cs="Arial"/>
          <w:b/>
          <w:sz w:val="22"/>
          <w:szCs w:val="22"/>
        </w:rPr>
      </w:pPr>
    </w:p>
    <w:p w14:paraId="24A69BE5" w14:textId="77777777" w:rsidR="00AD5BAF" w:rsidRDefault="00AD5BAF" w:rsidP="00AD5BAF">
      <w:pPr>
        <w:jc w:val="both"/>
        <w:rPr>
          <w:rFonts w:ascii="Arial" w:hAnsi="Arial" w:cs="Arial"/>
          <w:b/>
          <w:sz w:val="22"/>
          <w:szCs w:val="22"/>
        </w:rPr>
      </w:pPr>
      <w:r w:rsidRPr="00183A58">
        <w:rPr>
          <w:rFonts w:ascii="Arial" w:hAnsi="Arial" w:cs="Arial"/>
          <w:b/>
          <w:sz w:val="22"/>
          <w:szCs w:val="22"/>
        </w:rPr>
        <w:t>Rozpočtové opatrenie 3: Navýšenie kapitálových výdavkov Dodávka a montáž snehových zábran ZŠ Vetvárska</w:t>
      </w:r>
    </w:p>
    <w:p w14:paraId="26B75637" w14:textId="77777777" w:rsidR="00E815F7" w:rsidRDefault="00E815F7" w:rsidP="00AD5BAF">
      <w:pPr>
        <w:jc w:val="both"/>
        <w:rPr>
          <w:rFonts w:ascii="Arial" w:hAnsi="Arial" w:cs="Arial"/>
          <w:b/>
          <w:sz w:val="22"/>
          <w:szCs w:val="22"/>
        </w:rPr>
      </w:pPr>
    </w:p>
    <w:p w14:paraId="62735465" w14:textId="77777777" w:rsidR="00D711AB" w:rsidRDefault="00E815F7" w:rsidP="00E815F7">
      <w:pPr>
        <w:ind w:firstLine="708"/>
        <w:jc w:val="both"/>
        <w:rPr>
          <w:rFonts w:ascii="Arial" w:hAnsi="Arial" w:cs="Arial"/>
          <w:sz w:val="22"/>
          <w:szCs w:val="22"/>
        </w:rPr>
      </w:pPr>
      <w:r w:rsidRPr="00E815F7">
        <w:rPr>
          <w:rFonts w:ascii="Arial" w:hAnsi="Arial" w:cs="Arial"/>
          <w:sz w:val="22"/>
          <w:szCs w:val="22"/>
        </w:rPr>
        <w:t xml:space="preserve">Účelom rozpočtového opatrenia je vytvorenie položky kapitálového rozpočtu za účelom dodávky a montáže snehových zábran na streche na ZŠ Vetvárska. </w:t>
      </w:r>
    </w:p>
    <w:p w14:paraId="7F8F2362" w14:textId="2E534AAE" w:rsidR="00CF0E4F" w:rsidRDefault="00E815F7" w:rsidP="00CF0E4F">
      <w:pPr>
        <w:ind w:firstLine="708"/>
        <w:jc w:val="both"/>
        <w:rPr>
          <w:sz w:val="22"/>
          <w:szCs w:val="22"/>
        </w:rPr>
      </w:pPr>
      <w:r w:rsidRPr="00E815F7">
        <w:rPr>
          <w:rFonts w:ascii="Arial" w:hAnsi="Arial" w:cs="Arial"/>
          <w:sz w:val="22"/>
          <w:szCs w:val="22"/>
        </w:rPr>
        <w:t xml:space="preserve">Počas zimných mesiacov tohto roku došlo k neželanému zosuvu </w:t>
      </w:r>
      <w:r w:rsidR="007B7012" w:rsidRPr="00E815F7">
        <w:rPr>
          <w:rFonts w:ascii="Arial" w:hAnsi="Arial" w:cs="Arial"/>
          <w:sz w:val="22"/>
          <w:szCs w:val="22"/>
        </w:rPr>
        <w:t>zľadovateného</w:t>
      </w:r>
      <w:r w:rsidRPr="00E815F7">
        <w:rPr>
          <w:rFonts w:ascii="Arial" w:hAnsi="Arial" w:cs="Arial"/>
          <w:sz w:val="22"/>
          <w:szCs w:val="22"/>
        </w:rPr>
        <w:t xml:space="preserve"> snehu zo strechy ZŠ. S cieľom zabráneniu opakovania sa takejto situácie je potrebné strechu z falcovaného plechu opatriť zodpovedajúcimi snehovými zábranami. </w:t>
      </w:r>
    </w:p>
    <w:p w14:paraId="3945AEE6" w14:textId="77777777" w:rsidR="00A91585" w:rsidRDefault="00CF0E4F" w:rsidP="00CF0E4F">
      <w:pPr>
        <w:jc w:val="both"/>
        <w:rPr>
          <w:rFonts w:ascii="Arial" w:hAnsi="Arial" w:cs="Arial"/>
          <w:sz w:val="22"/>
          <w:szCs w:val="22"/>
        </w:rPr>
      </w:pPr>
      <w:r w:rsidRPr="007B7012">
        <w:rPr>
          <w:rFonts w:ascii="Arial" w:hAnsi="Arial" w:cs="Arial"/>
          <w:sz w:val="22"/>
          <w:szCs w:val="22"/>
        </w:rPr>
        <w:t xml:space="preserve">Rekonštrukcia bola zhotovená na základe PD pre stavebné povolenie „Zníženie energetickej náročnosti ZŠ s MŠ s vyučovacím jazykom maďarským Vetvárska 7“ spracovanej GK </w:t>
      </w:r>
      <w:proofErr w:type="spellStart"/>
      <w:r w:rsidRPr="007B7012">
        <w:rPr>
          <w:rFonts w:ascii="Arial" w:hAnsi="Arial" w:cs="Arial"/>
          <w:sz w:val="22"/>
          <w:szCs w:val="22"/>
        </w:rPr>
        <w:t>studio</w:t>
      </w:r>
      <w:proofErr w:type="spellEnd"/>
      <w:r w:rsidRPr="007B7012">
        <w:rPr>
          <w:rFonts w:ascii="Arial" w:hAnsi="Arial" w:cs="Arial"/>
          <w:sz w:val="22"/>
          <w:szCs w:val="22"/>
        </w:rPr>
        <w:t>, Hurbanovo z r. 2019. Predmetná dokumentácia neobsahovala a neriešila osadenie snehových zábran.</w:t>
      </w:r>
      <w:r w:rsidR="00A91585">
        <w:rPr>
          <w:rFonts w:ascii="Arial" w:hAnsi="Arial" w:cs="Arial"/>
          <w:sz w:val="22"/>
          <w:szCs w:val="22"/>
        </w:rPr>
        <w:t xml:space="preserve"> I</w:t>
      </w:r>
      <w:r w:rsidRPr="007B7012">
        <w:rPr>
          <w:rFonts w:ascii="Arial" w:hAnsi="Arial" w:cs="Arial"/>
          <w:sz w:val="22"/>
          <w:szCs w:val="22"/>
        </w:rPr>
        <w:t>nvestorom rekonštrukcie bola škola priamo</w:t>
      </w:r>
      <w:r w:rsidR="00A91585">
        <w:rPr>
          <w:rFonts w:ascii="Arial" w:hAnsi="Arial" w:cs="Arial"/>
          <w:sz w:val="22"/>
          <w:szCs w:val="22"/>
        </w:rPr>
        <w:t>.</w:t>
      </w:r>
    </w:p>
    <w:p w14:paraId="035388A8" w14:textId="5EC8D54D" w:rsidR="00CF0E4F" w:rsidRPr="0029576E" w:rsidRDefault="00A91585" w:rsidP="00CF0E4F">
      <w:pPr>
        <w:jc w:val="both"/>
        <w:rPr>
          <w:rFonts w:ascii="Arial" w:hAnsi="Arial" w:cs="Arial"/>
          <w:sz w:val="22"/>
          <w:szCs w:val="22"/>
        </w:rPr>
      </w:pPr>
      <w:r w:rsidRPr="00AD5BAF">
        <w:rPr>
          <w:rFonts w:ascii="Arial" w:hAnsi="Arial" w:cs="Arial"/>
          <w:sz w:val="22"/>
          <w:szCs w:val="22"/>
        </w:rPr>
        <w:t xml:space="preserve">Vzhľadom na vyššie uvedené žiadame vytvorenie položky výdavok kapitálového rozpočtu vo výške </w:t>
      </w:r>
      <w:r w:rsidR="00CF0E4F" w:rsidRPr="007B7012">
        <w:rPr>
          <w:rFonts w:ascii="Arial" w:hAnsi="Arial" w:cs="Arial"/>
          <w:b/>
          <w:bCs/>
          <w:sz w:val="22"/>
          <w:szCs w:val="22"/>
        </w:rPr>
        <w:t xml:space="preserve">o 8.500 </w:t>
      </w:r>
      <w:r>
        <w:rPr>
          <w:rFonts w:ascii="Arial" w:hAnsi="Arial" w:cs="Arial"/>
          <w:b/>
          <w:bCs/>
          <w:sz w:val="22"/>
          <w:szCs w:val="22"/>
        </w:rPr>
        <w:t xml:space="preserve">€  </w:t>
      </w:r>
      <w:r w:rsidRPr="0029576E">
        <w:rPr>
          <w:rFonts w:ascii="Arial" w:hAnsi="Arial" w:cs="Arial"/>
          <w:sz w:val="22"/>
          <w:szCs w:val="22"/>
        </w:rPr>
        <w:t>za účelom</w:t>
      </w:r>
      <w:r w:rsidR="0029576E" w:rsidRPr="0029576E">
        <w:rPr>
          <w:rFonts w:ascii="Arial" w:hAnsi="Arial" w:cs="Arial"/>
          <w:sz w:val="22"/>
          <w:szCs w:val="22"/>
        </w:rPr>
        <w:t xml:space="preserve"> dodávky a montáže snehových zábran na streche ZŠ Vetvárska.</w:t>
      </w:r>
    </w:p>
    <w:p w14:paraId="32E60500" w14:textId="77777777" w:rsidR="00A45E3D" w:rsidRPr="007B7012" w:rsidRDefault="00A45E3D" w:rsidP="003E45DA">
      <w:pPr>
        <w:jc w:val="both"/>
        <w:rPr>
          <w:rFonts w:ascii="Arial" w:hAnsi="Arial" w:cs="Arial"/>
          <w:b/>
          <w:bCs/>
          <w:sz w:val="22"/>
          <w:szCs w:val="22"/>
        </w:rPr>
      </w:pPr>
    </w:p>
    <w:sectPr w:rsidR="00A45E3D" w:rsidRPr="007B7012" w:rsidSect="00912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D49BC"/>
    <w:multiLevelType w:val="hybridMultilevel"/>
    <w:tmpl w:val="9A509D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69"/>
    <w:rsid w:val="00036A4A"/>
    <w:rsid w:val="00053597"/>
    <w:rsid w:val="00183A58"/>
    <w:rsid w:val="00253A75"/>
    <w:rsid w:val="00256307"/>
    <w:rsid w:val="0029576E"/>
    <w:rsid w:val="002B7624"/>
    <w:rsid w:val="002B7F92"/>
    <w:rsid w:val="002E73DB"/>
    <w:rsid w:val="00385B6F"/>
    <w:rsid w:val="003E45DA"/>
    <w:rsid w:val="00435965"/>
    <w:rsid w:val="004C15A1"/>
    <w:rsid w:val="004D5704"/>
    <w:rsid w:val="00560DD4"/>
    <w:rsid w:val="00605327"/>
    <w:rsid w:val="00797564"/>
    <w:rsid w:val="007B7012"/>
    <w:rsid w:val="007E6E51"/>
    <w:rsid w:val="00912A33"/>
    <w:rsid w:val="00932C28"/>
    <w:rsid w:val="00A45E3D"/>
    <w:rsid w:val="00A8663E"/>
    <w:rsid w:val="00A91585"/>
    <w:rsid w:val="00AD5BAF"/>
    <w:rsid w:val="00BA4703"/>
    <w:rsid w:val="00BA5235"/>
    <w:rsid w:val="00BE635C"/>
    <w:rsid w:val="00CB1F1A"/>
    <w:rsid w:val="00CF0E4F"/>
    <w:rsid w:val="00D01E83"/>
    <w:rsid w:val="00D711AB"/>
    <w:rsid w:val="00D933F6"/>
    <w:rsid w:val="00DC1DFA"/>
    <w:rsid w:val="00E66482"/>
    <w:rsid w:val="00E77E2C"/>
    <w:rsid w:val="00E815F7"/>
    <w:rsid w:val="00E84350"/>
    <w:rsid w:val="00EC3BD4"/>
    <w:rsid w:val="00EC4F93"/>
    <w:rsid w:val="00F52B1D"/>
    <w:rsid w:val="00F7146D"/>
    <w:rsid w:val="00FA4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6526"/>
  <w15:docId w15:val="{24C1F7AF-CA90-4705-8540-74018E66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4C6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FA4C69"/>
    <w:rPr>
      <w:rFonts w:ascii="Arial" w:hAnsi="Arial"/>
      <w:sz w:val="22"/>
      <w:szCs w:val="20"/>
    </w:rPr>
  </w:style>
  <w:style w:type="character" w:customStyle="1" w:styleId="ZkladntextChar">
    <w:name w:val="Základný text Char"/>
    <w:basedOn w:val="Predvolenpsmoodseku"/>
    <w:link w:val="Zkladntext"/>
    <w:uiPriority w:val="99"/>
    <w:rsid w:val="00FA4C69"/>
    <w:rPr>
      <w:rFonts w:ascii="Arial" w:eastAsia="Times New Roman" w:hAnsi="Arial" w:cs="Times New Roman"/>
      <w:szCs w:val="20"/>
      <w:lang w:eastAsia="sk-SK"/>
    </w:rPr>
  </w:style>
  <w:style w:type="paragraph" w:styleId="Odsekzoznamu">
    <w:name w:val="List Paragraph"/>
    <w:basedOn w:val="Normlny"/>
    <w:uiPriority w:val="34"/>
    <w:qFormat/>
    <w:rsid w:val="00183A58"/>
    <w:pPr>
      <w:ind w:left="720"/>
      <w:contextualSpacing/>
    </w:pPr>
  </w:style>
  <w:style w:type="table" w:styleId="Mriekatabuky">
    <w:name w:val="Table Grid"/>
    <w:basedOn w:val="Normlnatabuka"/>
    <w:uiPriority w:val="59"/>
    <w:rsid w:val="00AD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5674">
      <w:bodyDiv w:val="1"/>
      <w:marLeft w:val="0"/>
      <w:marRight w:val="0"/>
      <w:marTop w:val="0"/>
      <w:marBottom w:val="0"/>
      <w:divBdr>
        <w:top w:val="none" w:sz="0" w:space="0" w:color="auto"/>
        <w:left w:val="none" w:sz="0" w:space="0" w:color="auto"/>
        <w:bottom w:val="none" w:sz="0" w:space="0" w:color="auto"/>
        <w:right w:val="none" w:sz="0" w:space="0" w:color="auto"/>
      </w:divBdr>
    </w:div>
    <w:div w:id="200215690">
      <w:bodyDiv w:val="1"/>
      <w:marLeft w:val="0"/>
      <w:marRight w:val="0"/>
      <w:marTop w:val="0"/>
      <w:marBottom w:val="0"/>
      <w:divBdr>
        <w:top w:val="none" w:sz="0" w:space="0" w:color="auto"/>
        <w:left w:val="none" w:sz="0" w:space="0" w:color="auto"/>
        <w:bottom w:val="none" w:sz="0" w:space="0" w:color="auto"/>
        <w:right w:val="none" w:sz="0" w:space="0" w:color="auto"/>
      </w:divBdr>
    </w:div>
    <w:div w:id="566847253">
      <w:bodyDiv w:val="1"/>
      <w:marLeft w:val="0"/>
      <w:marRight w:val="0"/>
      <w:marTop w:val="0"/>
      <w:marBottom w:val="0"/>
      <w:divBdr>
        <w:top w:val="none" w:sz="0" w:space="0" w:color="auto"/>
        <w:left w:val="none" w:sz="0" w:space="0" w:color="auto"/>
        <w:bottom w:val="none" w:sz="0" w:space="0" w:color="auto"/>
        <w:right w:val="none" w:sz="0" w:space="0" w:color="auto"/>
      </w:divBdr>
    </w:div>
    <w:div w:id="1456213842">
      <w:bodyDiv w:val="1"/>
      <w:marLeft w:val="0"/>
      <w:marRight w:val="0"/>
      <w:marTop w:val="0"/>
      <w:marBottom w:val="0"/>
      <w:divBdr>
        <w:top w:val="none" w:sz="0" w:space="0" w:color="auto"/>
        <w:left w:val="none" w:sz="0" w:space="0" w:color="auto"/>
        <w:bottom w:val="none" w:sz="0" w:space="0" w:color="auto"/>
        <w:right w:val="none" w:sz="0" w:space="0" w:color="auto"/>
      </w:divBdr>
    </w:div>
    <w:div w:id="1600287292">
      <w:bodyDiv w:val="1"/>
      <w:marLeft w:val="0"/>
      <w:marRight w:val="0"/>
      <w:marTop w:val="0"/>
      <w:marBottom w:val="0"/>
      <w:divBdr>
        <w:top w:val="none" w:sz="0" w:space="0" w:color="auto"/>
        <w:left w:val="none" w:sz="0" w:space="0" w:color="auto"/>
        <w:bottom w:val="none" w:sz="0" w:space="0" w:color="auto"/>
        <w:right w:val="none" w:sz="0" w:space="0" w:color="auto"/>
      </w:divBdr>
    </w:div>
    <w:div w:id="1667047825">
      <w:bodyDiv w:val="1"/>
      <w:marLeft w:val="0"/>
      <w:marRight w:val="0"/>
      <w:marTop w:val="0"/>
      <w:marBottom w:val="0"/>
      <w:divBdr>
        <w:top w:val="none" w:sz="0" w:space="0" w:color="auto"/>
        <w:left w:val="none" w:sz="0" w:space="0" w:color="auto"/>
        <w:bottom w:val="none" w:sz="0" w:space="0" w:color="auto"/>
        <w:right w:val="none" w:sz="0" w:space="0" w:color="auto"/>
      </w:divBdr>
    </w:div>
    <w:div w:id="1731154267">
      <w:bodyDiv w:val="1"/>
      <w:marLeft w:val="0"/>
      <w:marRight w:val="0"/>
      <w:marTop w:val="0"/>
      <w:marBottom w:val="0"/>
      <w:divBdr>
        <w:top w:val="none" w:sz="0" w:space="0" w:color="auto"/>
        <w:left w:val="none" w:sz="0" w:space="0" w:color="auto"/>
        <w:bottom w:val="none" w:sz="0" w:space="0" w:color="auto"/>
        <w:right w:val="none" w:sz="0" w:space="0" w:color="auto"/>
      </w:divBdr>
    </w:div>
    <w:div w:id="19459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1621</Words>
  <Characters>10897</Characters>
  <Application>Microsoft Office Word</Application>
  <DocSecurity>0</DocSecurity>
  <Lines>330</Lines>
  <Paragraphs>94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Špaček Ján</dc:creator>
  <cp:lastModifiedBy>Špaček Ján</cp:lastModifiedBy>
  <cp:revision>3</cp:revision>
  <cp:lastPrinted>2021-09-22T10:21:00Z</cp:lastPrinted>
  <dcterms:created xsi:type="dcterms:W3CDTF">2021-09-22T14:07:00Z</dcterms:created>
  <dcterms:modified xsi:type="dcterms:W3CDTF">2021-09-23T13:12:00Z</dcterms:modified>
</cp:coreProperties>
</file>