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8288" w14:textId="77777777" w:rsidR="006C1535" w:rsidRDefault="006C1535" w:rsidP="006C1535">
      <w:pPr>
        <w:pStyle w:val="Style2"/>
        <w:keepNext/>
        <w:keepLines/>
      </w:pPr>
      <w:bookmarkStart w:id="0" w:name="bookmark0"/>
      <w:r>
        <w:t>Zmluva</w:t>
      </w:r>
      <w:bookmarkEnd w:id="0"/>
    </w:p>
    <w:p w14:paraId="30755FD1" w14:textId="77777777" w:rsidR="006C1535" w:rsidRDefault="006C1535" w:rsidP="006C1535">
      <w:pPr>
        <w:pStyle w:val="Style4"/>
        <w:keepNext/>
        <w:keepLines/>
        <w:rPr>
          <w:sz w:val="22"/>
          <w:szCs w:val="22"/>
        </w:rPr>
      </w:pPr>
      <w:bookmarkStart w:id="1" w:name="bookmark2"/>
      <w:r>
        <w:rPr>
          <w:sz w:val="22"/>
          <w:szCs w:val="22"/>
        </w:rPr>
        <w:t xml:space="preserve">č. </w:t>
      </w:r>
      <w:bookmarkEnd w:id="1"/>
      <w:r>
        <w:rPr>
          <w:sz w:val="22"/>
          <w:szCs w:val="22"/>
        </w:rPr>
        <w:t>..........................</w:t>
      </w:r>
    </w:p>
    <w:p w14:paraId="21E9A88C" w14:textId="77777777" w:rsidR="006C1535" w:rsidRDefault="006C1535" w:rsidP="006C1535">
      <w:pPr>
        <w:pStyle w:val="Style7"/>
        <w:jc w:val="center"/>
      </w:pPr>
      <w:r>
        <w:t xml:space="preserve">uzavretá podľa § 536 a </w:t>
      </w:r>
      <w:proofErr w:type="spellStart"/>
      <w:r>
        <w:t>nasl</w:t>
      </w:r>
      <w:proofErr w:type="spellEnd"/>
      <w:r>
        <w:t>. zákona č. 513/1991 Zb. Obchodného zákonníka v znení</w:t>
      </w:r>
      <w:r>
        <w:br/>
        <w:t>neskorších predpisov, postupom podľa zákona č. 343/2015 Z. z. o verejnom obstarávaní a</w:t>
      </w:r>
      <w:r>
        <w:br/>
        <w:t>o zmene a doplnení niektorých zákonov a v súlade s platným právnym poriadkom Slovenskej</w:t>
      </w:r>
      <w:r>
        <w:br/>
        <w:t>republiky (ďalej len „ Zmluva")</w:t>
      </w:r>
    </w:p>
    <w:p w14:paraId="1BF3D19D" w14:textId="77777777" w:rsidR="006C1535" w:rsidRDefault="006C1535" w:rsidP="006C1535">
      <w:pPr>
        <w:pStyle w:val="Style4"/>
        <w:keepNext/>
        <w:keepLines/>
      </w:pPr>
      <w:bookmarkStart w:id="2" w:name="bookmark4"/>
      <w:r>
        <w:t>ČI. I</w:t>
      </w:r>
      <w:r>
        <w:br/>
        <w:t>Zmluvné strany</w:t>
      </w:r>
      <w:bookmarkEnd w:id="2"/>
    </w:p>
    <w:tbl>
      <w:tblPr>
        <w:tblOverlap w:val="never"/>
        <w:tblW w:w="0" w:type="auto"/>
        <w:tblLayout w:type="fixed"/>
        <w:tblCellMar>
          <w:left w:w="10" w:type="dxa"/>
          <w:right w:w="10" w:type="dxa"/>
        </w:tblCellMar>
        <w:tblLook w:val="04A0" w:firstRow="1" w:lastRow="0" w:firstColumn="1" w:lastColumn="0" w:noHBand="0" w:noVBand="1"/>
      </w:tblPr>
      <w:tblGrid>
        <w:gridCol w:w="2002"/>
        <w:gridCol w:w="4800"/>
      </w:tblGrid>
      <w:tr w:rsidR="006C1535" w14:paraId="49C70529" w14:textId="77777777" w:rsidTr="006258B0">
        <w:trPr>
          <w:trHeight w:hRule="exact" w:val="240"/>
        </w:trPr>
        <w:tc>
          <w:tcPr>
            <w:tcW w:w="2002" w:type="dxa"/>
            <w:shd w:val="clear" w:color="auto" w:fill="auto"/>
            <w:vAlign w:val="bottom"/>
          </w:tcPr>
          <w:p w14:paraId="73BD23D6" w14:textId="77777777" w:rsidR="006C1535" w:rsidRDefault="006C1535" w:rsidP="006258B0">
            <w:pPr>
              <w:pStyle w:val="Style12"/>
              <w:spacing w:after="0"/>
            </w:pPr>
            <w:r>
              <w:rPr>
                <w:b/>
                <w:bCs/>
              </w:rPr>
              <w:t>Objednávateľ:</w:t>
            </w:r>
          </w:p>
        </w:tc>
        <w:tc>
          <w:tcPr>
            <w:tcW w:w="4800" w:type="dxa"/>
            <w:shd w:val="clear" w:color="auto" w:fill="auto"/>
            <w:vAlign w:val="bottom"/>
          </w:tcPr>
          <w:p w14:paraId="3A14C499" w14:textId="77777777" w:rsidR="006C1535" w:rsidRDefault="006C1535" w:rsidP="006258B0">
            <w:pPr>
              <w:pStyle w:val="Style12"/>
              <w:spacing w:after="0"/>
              <w:ind w:firstLine="140"/>
            </w:pPr>
            <w:r>
              <w:rPr>
                <w:b/>
                <w:bCs/>
              </w:rPr>
              <w:t>Mestská časť Bratislava—Podunajské Biskupice</w:t>
            </w:r>
          </w:p>
        </w:tc>
      </w:tr>
      <w:tr w:rsidR="006C1535" w14:paraId="32413F25" w14:textId="77777777" w:rsidTr="006258B0">
        <w:trPr>
          <w:trHeight w:hRule="exact" w:val="221"/>
        </w:trPr>
        <w:tc>
          <w:tcPr>
            <w:tcW w:w="2002" w:type="dxa"/>
            <w:shd w:val="clear" w:color="auto" w:fill="auto"/>
            <w:vAlign w:val="bottom"/>
          </w:tcPr>
          <w:p w14:paraId="731DDF17" w14:textId="77777777" w:rsidR="006C1535" w:rsidRDefault="006C1535" w:rsidP="006258B0">
            <w:pPr>
              <w:pStyle w:val="Style12"/>
              <w:spacing w:after="0"/>
            </w:pPr>
            <w:r>
              <w:rPr>
                <w:color w:val="1D1D1E"/>
              </w:rPr>
              <w:t>Sídlo:</w:t>
            </w:r>
          </w:p>
        </w:tc>
        <w:tc>
          <w:tcPr>
            <w:tcW w:w="4800" w:type="dxa"/>
            <w:shd w:val="clear" w:color="auto" w:fill="auto"/>
            <w:vAlign w:val="bottom"/>
          </w:tcPr>
          <w:p w14:paraId="5C047675" w14:textId="77777777" w:rsidR="006C1535" w:rsidRDefault="006C1535" w:rsidP="006258B0">
            <w:pPr>
              <w:pStyle w:val="Style12"/>
              <w:spacing w:after="0"/>
              <w:ind w:firstLine="140"/>
            </w:pPr>
            <w:r>
              <w:rPr>
                <w:color w:val="1D1D1E"/>
              </w:rPr>
              <w:t>Trojičné nám. 11, 825 61 Bratislava</w:t>
            </w:r>
          </w:p>
        </w:tc>
      </w:tr>
      <w:tr w:rsidR="006C1535" w14:paraId="3F7B3A13" w14:textId="77777777" w:rsidTr="006258B0">
        <w:trPr>
          <w:trHeight w:hRule="exact" w:val="235"/>
        </w:trPr>
        <w:tc>
          <w:tcPr>
            <w:tcW w:w="2002" w:type="dxa"/>
            <w:shd w:val="clear" w:color="auto" w:fill="auto"/>
            <w:vAlign w:val="bottom"/>
          </w:tcPr>
          <w:p w14:paraId="0C2043B7" w14:textId="77777777" w:rsidR="006C1535" w:rsidRDefault="006C1535" w:rsidP="006258B0">
            <w:pPr>
              <w:pStyle w:val="Style12"/>
              <w:spacing w:after="0"/>
            </w:pPr>
            <w:r>
              <w:t>Štatutárny zástupca:</w:t>
            </w:r>
          </w:p>
        </w:tc>
        <w:tc>
          <w:tcPr>
            <w:tcW w:w="4800" w:type="dxa"/>
            <w:shd w:val="clear" w:color="auto" w:fill="auto"/>
            <w:vAlign w:val="bottom"/>
          </w:tcPr>
          <w:p w14:paraId="4CD26BB7" w14:textId="77777777" w:rsidR="006C1535" w:rsidRDefault="006C1535" w:rsidP="006258B0">
            <w:pPr>
              <w:pStyle w:val="Style12"/>
              <w:spacing w:after="0"/>
              <w:ind w:firstLine="140"/>
            </w:pPr>
            <w:r>
              <w:rPr>
                <w:color w:val="1D1D1E"/>
              </w:rPr>
              <w:t xml:space="preserve">Mgr. Zoltán </w:t>
            </w:r>
            <w:proofErr w:type="spellStart"/>
            <w:r>
              <w:rPr>
                <w:color w:val="1D1D1E"/>
              </w:rPr>
              <w:t>Pék</w:t>
            </w:r>
            <w:proofErr w:type="spellEnd"/>
            <w:r>
              <w:rPr>
                <w:color w:val="1D1D1E"/>
              </w:rPr>
              <w:t>, starosta</w:t>
            </w:r>
          </w:p>
        </w:tc>
      </w:tr>
      <w:tr w:rsidR="006C1535" w14:paraId="74E5CE84" w14:textId="77777777" w:rsidTr="006258B0">
        <w:trPr>
          <w:trHeight w:hRule="exact" w:val="221"/>
        </w:trPr>
        <w:tc>
          <w:tcPr>
            <w:tcW w:w="2002" w:type="dxa"/>
            <w:shd w:val="clear" w:color="auto" w:fill="auto"/>
          </w:tcPr>
          <w:p w14:paraId="756FC8A2" w14:textId="77777777" w:rsidR="006C1535" w:rsidRDefault="006C1535" w:rsidP="006258B0">
            <w:pPr>
              <w:pStyle w:val="Style12"/>
              <w:spacing w:after="0"/>
            </w:pPr>
            <w:r>
              <w:rPr>
                <w:color w:val="1D1D1E"/>
              </w:rPr>
              <w:t>IČO:</w:t>
            </w:r>
          </w:p>
        </w:tc>
        <w:tc>
          <w:tcPr>
            <w:tcW w:w="4800" w:type="dxa"/>
            <w:shd w:val="clear" w:color="auto" w:fill="auto"/>
          </w:tcPr>
          <w:p w14:paraId="5C70F7F8" w14:textId="77777777" w:rsidR="006C1535" w:rsidRDefault="006C1535" w:rsidP="006258B0">
            <w:pPr>
              <w:pStyle w:val="Style12"/>
              <w:spacing w:after="0"/>
              <w:ind w:firstLine="140"/>
            </w:pPr>
            <w:r>
              <w:rPr>
                <w:color w:val="1D1D1E"/>
              </w:rPr>
              <w:t>00641383</w:t>
            </w:r>
          </w:p>
        </w:tc>
      </w:tr>
      <w:tr w:rsidR="006C1535" w14:paraId="5CD8982F" w14:textId="77777777" w:rsidTr="006258B0">
        <w:trPr>
          <w:trHeight w:hRule="exact" w:val="235"/>
        </w:trPr>
        <w:tc>
          <w:tcPr>
            <w:tcW w:w="2002" w:type="dxa"/>
            <w:shd w:val="clear" w:color="auto" w:fill="auto"/>
          </w:tcPr>
          <w:p w14:paraId="2F308D99" w14:textId="77777777" w:rsidR="006C1535" w:rsidRDefault="006C1535" w:rsidP="006258B0">
            <w:pPr>
              <w:pStyle w:val="Style12"/>
              <w:spacing w:after="0"/>
            </w:pPr>
            <w:r>
              <w:t>DIČ:</w:t>
            </w:r>
          </w:p>
        </w:tc>
        <w:tc>
          <w:tcPr>
            <w:tcW w:w="4800" w:type="dxa"/>
            <w:shd w:val="clear" w:color="auto" w:fill="auto"/>
          </w:tcPr>
          <w:p w14:paraId="74B4F2EE" w14:textId="77777777" w:rsidR="006C1535" w:rsidRDefault="006C1535" w:rsidP="006258B0">
            <w:pPr>
              <w:pStyle w:val="Style12"/>
              <w:spacing w:after="0"/>
              <w:ind w:firstLine="140"/>
            </w:pPr>
            <w:r>
              <w:t>2020943782</w:t>
            </w:r>
          </w:p>
        </w:tc>
      </w:tr>
      <w:tr w:rsidR="006C1535" w14:paraId="523A8062" w14:textId="77777777" w:rsidTr="006258B0">
        <w:trPr>
          <w:trHeight w:hRule="exact" w:val="230"/>
        </w:trPr>
        <w:tc>
          <w:tcPr>
            <w:tcW w:w="2002" w:type="dxa"/>
            <w:shd w:val="clear" w:color="auto" w:fill="auto"/>
            <w:vAlign w:val="bottom"/>
          </w:tcPr>
          <w:p w14:paraId="7C53297F" w14:textId="77777777" w:rsidR="006C1535" w:rsidRDefault="006C1535" w:rsidP="006258B0">
            <w:pPr>
              <w:pStyle w:val="Style12"/>
              <w:spacing w:after="0"/>
            </w:pPr>
            <w:r>
              <w:t>Bankové spojenie:</w:t>
            </w:r>
          </w:p>
        </w:tc>
        <w:tc>
          <w:tcPr>
            <w:tcW w:w="4800" w:type="dxa"/>
            <w:shd w:val="clear" w:color="auto" w:fill="auto"/>
            <w:vAlign w:val="bottom"/>
          </w:tcPr>
          <w:p w14:paraId="1D6BF8F5" w14:textId="77777777" w:rsidR="006C1535" w:rsidRDefault="006C1535" w:rsidP="006258B0">
            <w:pPr>
              <w:pStyle w:val="Style12"/>
              <w:spacing w:after="0"/>
              <w:ind w:firstLine="140"/>
            </w:pPr>
            <w:r>
              <w:rPr>
                <w:color w:val="1D1D1E"/>
              </w:rPr>
              <w:t>SK80 1100 0000 026 2700 5541</w:t>
            </w:r>
          </w:p>
        </w:tc>
      </w:tr>
      <w:tr w:rsidR="006C1535" w14:paraId="1A4A1A54" w14:textId="77777777" w:rsidTr="006258B0">
        <w:trPr>
          <w:trHeight w:hRule="exact" w:val="240"/>
        </w:trPr>
        <w:tc>
          <w:tcPr>
            <w:tcW w:w="2002" w:type="dxa"/>
            <w:shd w:val="clear" w:color="auto" w:fill="auto"/>
          </w:tcPr>
          <w:p w14:paraId="295BFDFA" w14:textId="77777777" w:rsidR="006C1535" w:rsidRDefault="006C1535" w:rsidP="006258B0">
            <w:pPr>
              <w:pStyle w:val="Style12"/>
              <w:spacing w:after="0"/>
            </w:pPr>
            <w:r>
              <w:t>Číslo účtu:</w:t>
            </w:r>
          </w:p>
        </w:tc>
        <w:tc>
          <w:tcPr>
            <w:tcW w:w="4800" w:type="dxa"/>
            <w:shd w:val="clear" w:color="auto" w:fill="auto"/>
          </w:tcPr>
          <w:p w14:paraId="492B3982" w14:textId="77777777" w:rsidR="006C1535" w:rsidRDefault="006C1535" w:rsidP="006258B0">
            <w:pPr>
              <w:pStyle w:val="Style12"/>
              <w:spacing w:after="0"/>
              <w:ind w:firstLine="140"/>
            </w:pPr>
            <w:r>
              <w:rPr>
                <w:color w:val="1D1D1E"/>
              </w:rPr>
              <w:t>nie je platcom DPH</w:t>
            </w:r>
          </w:p>
        </w:tc>
      </w:tr>
      <w:tr w:rsidR="006C1535" w14:paraId="152FB1EF" w14:textId="77777777" w:rsidTr="006258B0">
        <w:trPr>
          <w:trHeight w:hRule="exact" w:val="221"/>
        </w:trPr>
        <w:tc>
          <w:tcPr>
            <w:tcW w:w="2002" w:type="dxa"/>
            <w:shd w:val="clear" w:color="auto" w:fill="auto"/>
            <w:vAlign w:val="bottom"/>
          </w:tcPr>
          <w:p w14:paraId="27E0C3C9" w14:textId="77777777" w:rsidR="006C1535" w:rsidRDefault="006C1535" w:rsidP="006258B0">
            <w:pPr>
              <w:pStyle w:val="Style12"/>
              <w:spacing w:after="0"/>
            </w:pPr>
            <w:r>
              <w:t>Kontaktná osoba:</w:t>
            </w:r>
          </w:p>
        </w:tc>
        <w:tc>
          <w:tcPr>
            <w:tcW w:w="4800" w:type="dxa"/>
            <w:shd w:val="clear" w:color="auto" w:fill="auto"/>
            <w:vAlign w:val="bottom"/>
          </w:tcPr>
          <w:p w14:paraId="74C3C37E" w14:textId="77777777" w:rsidR="006C1535" w:rsidRDefault="006C1535" w:rsidP="006258B0">
            <w:pPr>
              <w:pStyle w:val="Style12"/>
              <w:spacing w:after="0"/>
              <w:ind w:firstLine="140"/>
            </w:pPr>
            <w:r>
              <w:t>Zuzana Deáková</w:t>
            </w:r>
          </w:p>
        </w:tc>
      </w:tr>
      <w:tr w:rsidR="006C1535" w14:paraId="6EEE1F50" w14:textId="77777777" w:rsidTr="006258B0">
        <w:trPr>
          <w:trHeight w:hRule="exact" w:val="226"/>
        </w:trPr>
        <w:tc>
          <w:tcPr>
            <w:tcW w:w="2002" w:type="dxa"/>
            <w:shd w:val="clear" w:color="auto" w:fill="auto"/>
            <w:vAlign w:val="bottom"/>
          </w:tcPr>
          <w:p w14:paraId="61C9ECB9" w14:textId="77777777" w:rsidR="006C1535" w:rsidRDefault="006C1535" w:rsidP="006258B0">
            <w:pPr>
              <w:pStyle w:val="Style12"/>
              <w:spacing w:after="0"/>
            </w:pPr>
            <w:r>
              <w:t>Tel.:</w:t>
            </w:r>
          </w:p>
        </w:tc>
        <w:tc>
          <w:tcPr>
            <w:tcW w:w="4800" w:type="dxa"/>
            <w:shd w:val="clear" w:color="auto" w:fill="auto"/>
            <w:vAlign w:val="bottom"/>
          </w:tcPr>
          <w:p w14:paraId="1A8B5950" w14:textId="77777777" w:rsidR="006C1535" w:rsidRDefault="006C1535" w:rsidP="006258B0">
            <w:pPr>
              <w:pStyle w:val="Style12"/>
              <w:spacing w:after="0"/>
              <w:ind w:firstLine="140"/>
            </w:pPr>
            <w:r>
              <w:t>02/40 20 72 25</w:t>
            </w:r>
          </w:p>
        </w:tc>
      </w:tr>
    </w:tbl>
    <w:p w14:paraId="40342451" w14:textId="77777777" w:rsidR="006C1535" w:rsidRDefault="006C1535" w:rsidP="006C1535">
      <w:pPr>
        <w:pStyle w:val="Style9"/>
        <w:tabs>
          <w:tab w:val="left" w:pos="2131"/>
        </w:tabs>
        <w:ind w:left="5"/>
      </w:pPr>
      <w:r>
        <w:t>E-mail:</w:t>
      </w:r>
      <w:r>
        <w:tab/>
        <w:t>zuzana.deakova@mupb.sk</w:t>
      </w:r>
    </w:p>
    <w:p w14:paraId="2B6212C4" w14:textId="77777777" w:rsidR="006C1535" w:rsidRDefault="006C1535" w:rsidP="006C1535">
      <w:pPr>
        <w:pStyle w:val="Style9"/>
        <w:ind w:left="5"/>
      </w:pPr>
      <w:r>
        <w:t>( ďalej len „Objednávateľ j</w:t>
      </w:r>
    </w:p>
    <w:p w14:paraId="6C76ACC9" w14:textId="77777777" w:rsidR="006C1535" w:rsidRDefault="006C1535" w:rsidP="006C1535">
      <w:pPr>
        <w:spacing w:after="219" w:line="1" w:lineRule="exact"/>
      </w:pPr>
    </w:p>
    <w:p w14:paraId="1FCF9514" w14:textId="77777777" w:rsidR="006C1535" w:rsidRDefault="006C1535" w:rsidP="006C1535">
      <w:pPr>
        <w:pStyle w:val="Style9"/>
        <w:ind w:left="14"/>
      </w:pPr>
      <w:r>
        <w:t>a</w:t>
      </w:r>
    </w:p>
    <w:tbl>
      <w:tblPr>
        <w:tblOverlap w:val="never"/>
        <w:tblW w:w="0" w:type="auto"/>
        <w:tblLayout w:type="fixed"/>
        <w:tblCellMar>
          <w:left w:w="10" w:type="dxa"/>
          <w:right w:w="10" w:type="dxa"/>
        </w:tblCellMar>
        <w:tblLook w:val="04A0" w:firstRow="1" w:lastRow="0" w:firstColumn="1" w:lastColumn="0" w:noHBand="0" w:noVBand="1"/>
      </w:tblPr>
      <w:tblGrid>
        <w:gridCol w:w="2069"/>
        <w:gridCol w:w="3682"/>
      </w:tblGrid>
      <w:tr w:rsidR="006C1535" w14:paraId="224F84FB" w14:textId="77777777" w:rsidTr="006258B0">
        <w:trPr>
          <w:trHeight w:hRule="exact" w:val="226"/>
        </w:trPr>
        <w:tc>
          <w:tcPr>
            <w:tcW w:w="2069" w:type="dxa"/>
            <w:shd w:val="clear" w:color="auto" w:fill="auto"/>
            <w:vAlign w:val="bottom"/>
          </w:tcPr>
          <w:p w14:paraId="7996F60E" w14:textId="77777777" w:rsidR="006C1535" w:rsidRDefault="006C1535" w:rsidP="006258B0">
            <w:pPr>
              <w:pStyle w:val="Style12"/>
              <w:spacing w:after="0"/>
            </w:pPr>
            <w:r>
              <w:rPr>
                <w:b/>
                <w:bCs/>
              </w:rPr>
              <w:t>Zhotoviteľ:</w:t>
            </w:r>
          </w:p>
        </w:tc>
        <w:tc>
          <w:tcPr>
            <w:tcW w:w="3682" w:type="dxa"/>
            <w:shd w:val="clear" w:color="auto" w:fill="auto"/>
            <w:vAlign w:val="bottom"/>
          </w:tcPr>
          <w:p w14:paraId="2F6A7677" w14:textId="77777777" w:rsidR="006C1535" w:rsidRDefault="006C1535" w:rsidP="006258B0">
            <w:pPr>
              <w:pStyle w:val="Style12"/>
              <w:spacing w:after="0"/>
            </w:pPr>
            <w:r>
              <w:t>.......................................................</w:t>
            </w:r>
          </w:p>
        </w:tc>
      </w:tr>
      <w:tr w:rsidR="006C1535" w14:paraId="6195370D" w14:textId="77777777" w:rsidTr="006258B0">
        <w:trPr>
          <w:trHeight w:hRule="exact" w:val="240"/>
        </w:trPr>
        <w:tc>
          <w:tcPr>
            <w:tcW w:w="2069" w:type="dxa"/>
            <w:shd w:val="clear" w:color="auto" w:fill="auto"/>
            <w:vAlign w:val="bottom"/>
          </w:tcPr>
          <w:p w14:paraId="5FAD4B2D" w14:textId="77777777" w:rsidR="006C1535" w:rsidRDefault="006C1535" w:rsidP="006258B0">
            <w:pPr>
              <w:pStyle w:val="Style12"/>
              <w:spacing w:after="0"/>
            </w:pPr>
            <w:r>
              <w:t>Sídlo:</w:t>
            </w:r>
          </w:p>
        </w:tc>
        <w:tc>
          <w:tcPr>
            <w:tcW w:w="3682" w:type="dxa"/>
            <w:shd w:val="clear" w:color="auto" w:fill="auto"/>
            <w:vAlign w:val="bottom"/>
          </w:tcPr>
          <w:p w14:paraId="1629EDD1" w14:textId="77777777" w:rsidR="006C1535" w:rsidRDefault="006C1535" w:rsidP="006258B0">
            <w:pPr>
              <w:pStyle w:val="Style12"/>
              <w:spacing w:after="0"/>
            </w:pPr>
            <w:r>
              <w:t>.......................................................</w:t>
            </w:r>
          </w:p>
        </w:tc>
      </w:tr>
      <w:tr w:rsidR="006C1535" w14:paraId="5DCF5E52" w14:textId="77777777" w:rsidTr="006258B0">
        <w:trPr>
          <w:trHeight w:hRule="exact" w:val="230"/>
        </w:trPr>
        <w:tc>
          <w:tcPr>
            <w:tcW w:w="2069" w:type="dxa"/>
            <w:shd w:val="clear" w:color="auto" w:fill="auto"/>
            <w:vAlign w:val="bottom"/>
          </w:tcPr>
          <w:p w14:paraId="346DDC8B" w14:textId="77777777" w:rsidR="006C1535" w:rsidRDefault="006C1535" w:rsidP="006258B0">
            <w:pPr>
              <w:pStyle w:val="Style12"/>
              <w:spacing w:after="0"/>
            </w:pPr>
            <w:r>
              <w:t>Zastúpený:</w:t>
            </w:r>
          </w:p>
        </w:tc>
        <w:tc>
          <w:tcPr>
            <w:tcW w:w="3682" w:type="dxa"/>
            <w:shd w:val="clear" w:color="auto" w:fill="auto"/>
            <w:vAlign w:val="bottom"/>
          </w:tcPr>
          <w:p w14:paraId="75B28CC5" w14:textId="77777777" w:rsidR="006C1535" w:rsidRDefault="006C1535" w:rsidP="006258B0">
            <w:pPr>
              <w:pStyle w:val="Style12"/>
              <w:spacing w:after="0"/>
              <w:jc w:val="both"/>
            </w:pPr>
            <w:r>
              <w:t>.......................................................</w:t>
            </w:r>
          </w:p>
        </w:tc>
      </w:tr>
      <w:tr w:rsidR="006C1535" w14:paraId="578B0D03" w14:textId="77777777" w:rsidTr="006258B0">
        <w:trPr>
          <w:trHeight w:hRule="exact" w:val="216"/>
        </w:trPr>
        <w:tc>
          <w:tcPr>
            <w:tcW w:w="2069" w:type="dxa"/>
            <w:shd w:val="clear" w:color="auto" w:fill="auto"/>
          </w:tcPr>
          <w:p w14:paraId="77625A42" w14:textId="77777777" w:rsidR="006C1535" w:rsidRDefault="006C1535" w:rsidP="006258B0">
            <w:pPr>
              <w:pStyle w:val="Style12"/>
              <w:spacing w:after="0"/>
            </w:pPr>
            <w:r>
              <w:t>IČO:</w:t>
            </w:r>
          </w:p>
        </w:tc>
        <w:tc>
          <w:tcPr>
            <w:tcW w:w="3682" w:type="dxa"/>
            <w:shd w:val="clear" w:color="auto" w:fill="auto"/>
          </w:tcPr>
          <w:p w14:paraId="132D9A74" w14:textId="77777777" w:rsidR="006C1535" w:rsidRDefault="006C1535" w:rsidP="006258B0">
            <w:pPr>
              <w:pStyle w:val="Style12"/>
              <w:spacing w:after="0"/>
              <w:jc w:val="both"/>
            </w:pPr>
            <w:r>
              <w:t>.......................................................</w:t>
            </w:r>
          </w:p>
        </w:tc>
      </w:tr>
      <w:tr w:rsidR="006C1535" w14:paraId="46886049" w14:textId="77777777" w:rsidTr="006258B0">
        <w:trPr>
          <w:trHeight w:hRule="exact" w:val="226"/>
        </w:trPr>
        <w:tc>
          <w:tcPr>
            <w:tcW w:w="2069" w:type="dxa"/>
            <w:shd w:val="clear" w:color="auto" w:fill="auto"/>
          </w:tcPr>
          <w:p w14:paraId="0C7F00C3" w14:textId="77777777" w:rsidR="006C1535" w:rsidRDefault="006C1535" w:rsidP="006258B0">
            <w:pPr>
              <w:pStyle w:val="Style12"/>
              <w:spacing w:after="0"/>
            </w:pPr>
            <w:r>
              <w:t>DIČ:</w:t>
            </w:r>
          </w:p>
        </w:tc>
        <w:tc>
          <w:tcPr>
            <w:tcW w:w="3682" w:type="dxa"/>
            <w:shd w:val="clear" w:color="auto" w:fill="auto"/>
          </w:tcPr>
          <w:p w14:paraId="7F4CF60D" w14:textId="77777777" w:rsidR="006C1535" w:rsidRDefault="006C1535" w:rsidP="006258B0">
            <w:pPr>
              <w:pStyle w:val="Style12"/>
              <w:spacing w:after="0"/>
              <w:jc w:val="both"/>
            </w:pPr>
            <w:r>
              <w:t>.......................................................</w:t>
            </w:r>
          </w:p>
        </w:tc>
      </w:tr>
      <w:tr w:rsidR="006C1535" w14:paraId="298331F3" w14:textId="77777777" w:rsidTr="006258B0">
        <w:trPr>
          <w:trHeight w:hRule="exact" w:val="240"/>
        </w:trPr>
        <w:tc>
          <w:tcPr>
            <w:tcW w:w="2069" w:type="dxa"/>
            <w:shd w:val="clear" w:color="auto" w:fill="auto"/>
            <w:vAlign w:val="bottom"/>
          </w:tcPr>
          <w:p w14:paraId="78E2AB41" w14:textId="77777777" w:rsidR="006C1535" w:rsidRDefault="006C1535" w:rsidP="006258B0">
            <w:pPr>
              <w:pStyle w:val="Style12"/>
              <w:spacing w:after="0"/>
            </w:pPr>
            <w:r>
              <w:t>Bankové spojenie:</w:t>
            </w:r>
          </w:p>
        </w:tc>
        <w:tc>
          <w:tcPr>
            <w:tcW w:w="3682" w:type="dxa"/>
            <w:shd w:val="clear" w:color="auto" w:fill="auto"/>
            <w:vAlign w:val="bottom"/>
          </w:tcPr>
          <w:p w14:paraId="2AD0DB8B" w14:textId="77777777" w:rsidR="006C1535" w:rsidRDefault="006C1535" w:rsidP="006258B0">
            <w:pPr>
              <w:pStyle w:val="Style12"/>
              <w:spacing w:after="0"/>
            </w:pPr>
            <w:r>
              <w:t>.......................................................</w:t>
            </w:r>
          </w:p>
        </w:tc>
      </w:tr>
      <w:tr w:rsidR="006C1535" w14:paraId="4E3AFF75" w14:textId="77777777" w:rsidTr="006258B0">
        <w:trPr>
          <w:trHeight w:hRule="exact" w:val="226"/>
        </w:trPr>
        <w:tc>
          <w:tcPr>
            <w:tcW w:w="2069" w:type="dxa"/>
            <w:shd w:val="clear" w:color="auto" w:fill="auto"/>
          </w:tcPr>
          <w:p w14:paraId="291FF193" w14:textId="77777777" w:rsidR="006C1535" w:rsidRDefault="006C1535" w:rsidP="006258B0">
            <w:pPr>
              <w:pStyle w:val="Style12"/>
              <w:spacing w:after="0"/>
            </w:pPr>
            <w:r>
              <w:t>Číslo účtu/ IBAN:</w:t>
            </w:r>
          </w:p>
        </w:tc>
        <w:tc>
          <w:tcPr>
            <w:tcW w:w="3682" w:type="dxa"/>
            <w:shd w:val="clear" w:color="auto" w:fill="auto"/>
          </w:tcPr>
          <w:p w14:paraId="49835404" w14:textId="77777777" w:rsidR="006C1535" w:rsidRDefault="006C1535" w:rsidP="006258B0">
            <w:pPr>
              <w:pStyle w:val="Style12"/>
              <w:spacing w:after="0"/>
            </w:pPr>
            <w:r>
              <w:t>......................................................</w:t>
            </w:r>
          </w:p>
        </w:tc>
      </w:tr>
      <w:tr w:rsidR="006C1535" w14:paraId="2CD5CE2B" w14:textId="77777777" w:rsidTr="006258B0">
        <w:trPr>
          <w:trHeight w:hRule="exact" w:val="230"/>
        </w:trPr>
        <w:tc>
          <w:tcPr>
            <w:tcW w:w="2069" w:type="dxa"/>
            <w:shd w:val="clear" w:color="auto" w:fill="auto"/>
          </w:tcPr>
          <w:p w14:paraId="48671BD2" w14:textId="77777777" w:rsidR="006C1535" w:rsidRDefault="006C1535" w:rsidP="006258B0">
            <w:pPr>
              <w:pStyle w:val="Style12"/>
              <w:spacing w:after="0"/>
            </w:pPr>
            <w:r>
              <w:t>IČ DPH:</w:t>
            </w:r>
          </w:p>
        </w:tc>
        <w:tc>
          <w:tcPr>
            <w:tcW w:w="3682" w:type="dxa"/>
            <w:shd w:val="clear" w:color="auto" w:fill="auto"/>
          </w:tcPr>
          <w:p w14:paraId="36A32BD8" w14:textId="77777777" w:rsidR="006C1535" w:rsidRPr="003108DB" w:rsidRDefault="006C1535" w:rsidP="006258B0">
            <w:pPr>
              <w:rPr>
                <w:rFonts w:ascii="Arial" w:hAnsi="Arial" w:cs="Arial"/>
                <w:sz w:val="20"/>
                <w:szCs w:val="20"/>
              </w:rPr>
            </w:pPr>
            <w:r>
              <w:rPr>
                <w:rFonts w:ascii="Arial" w:hAnsi="Arial" w:cs="Arial"/>
                <w:sz w:val="20"/>
                <w:szCs w:val="20"/>
              </w:rPr>
              <w:t>......................................................</w:t>
            </w:r>
          </w:p>
        </w:tc>
      </w:tr>
      <w:tr w:rsidR="006C1535" w14:paraId="5E4EEF67" w14:textId="77777777" w:rsidTr="006258B0">
        <w:trPr>
          <w:trHeight w:hRule="exact" w:val="235"/>
        </w:trPr>
        <w:tc>
          <w:tcPr>
            <w:tcW w:w="2069" w:type="dxa"/>
            <w:shd w:val="clear" w:color="auto" w:fill="auto"/>
            <w:vAlign w:val="bottom"/>
          </w:tcPr>
          <w:p w14:paraId="21531327" w14:textId="77777777" w:rsidR="006C1535" w:rsidRDefault="006C1535" w:rsidP="006258B0">
            <w:pPr>
              <w:pStyle w:val="Style12"/>
              <w:spacing w:after="0"/>
            </w:pPr>
            <w:r>
              <w:t>Kontaktná osoba:</w:t>
            </w:r>
          </w:p>
        </w:tc>
        <w:tc>
          <w:tcPr>
            <w:tcW w:w="3682" w:type="dxa"/>
            <w:shd w:val="clear" w:color="auto" w:fill="auto"/>
            <w:vAlign w:val="bottom"/>
          </w:tcPr>
          <w:p w14:paraId="0B12763E" w14:textId="77777777" w:rsidR="006C1535" w:rsidRDefault="006C1535" w:rsidP="006258B0">
            <w:pPr>
              <w:pStyle w:val="Style12"/>
              <w:spacing w:after="0"/>
              <w:jc w:val="both"/>
            </w:pPr>
            <w:r>
              <w:t>.......................................................</w:t>
            </w:r>
          </w:p>
        </w:tc>
      </w:tr>
      <w:tr w:rsidR="006C1535" w14:paraId="73CCAC1D" w14:textId="77777777" w:rsidTr="006258B0">
        <w:trPr>
          <w:trHeight w:hRule="exact" w:val="230"/>
        </w:trPr>
        <w:tc>
          <w:tcPr>
            <w:tcW w:w="2069" w:type="dxa"/>
            <w:shd w:val="clear" w:color="auto" w:fill="auto"/>
          </w:tcPr>
          <w:p w14:paraId="15433C2E" w14:textId="77777777" w:rsidR="006C1535" w:rsidRDefault="006C1535" w:rsidP="006258B0">
            <w:pPr>
              <w:pStyle w:val="Style12"/>
              <w:spacing w:after="0"/>
            </w:pPr>
            <w:r>
              <w:t>Tel.:</w:t>
            </w:r>
          </w:p>
        </w:tc>
        <w:tc>
          <w:tcPr>
            <w:tcW w:w="3682" w:type="dxa"/>
            <w:shd w:val="clear" w:color="auto" w:fill="auto"/>
          </w:tcPr>
          <w:p w14:paraId="4F686A8E" w14:textId="77777777" w:rsidR="006C1535" w:rsidRDefault="006C1535" w:rsidP="006258B0">
            <w:pPr>
              <w:pStyle w:val="Style12"/>
              <w:spacing w:after="0"/>
              <w:jc w:val="both"/>
            </w:pPr>
            <w:r>
              <w:t>.......................................................</w:t>
            </w:r>
          </w:p>
        </w:tc>
      </w:tr>
      <w:tr w:rsidR="006C1535" w14:paraId="464AABFE" w14:textId="77777777" w:rsidTr="006258B0">
        <w:trPr>
          <w:trHeight w:hRule="exact" w:val="245"/>
        </w:trPr>
        <w:tc>
          <w:tcPr>
            <w:tcW w:w="2069" w:type="dxa"/>
            <w:shd w:val="clear" w:color="auto" w:fill="auto"/>
            <w:vAlign w:val="bottom"/>
          </w:tcPr>
          <w:p w14:paraId="0DF3CF45" w14:textId="77777777" w:rsidR="006C1535" w:rsidRDefault="006C1535" w:rsidP="006258B0">
            <w:pPr>
              <w:pStyle w:val="Style12"/>
              <w:spacing w:after="0"/>
            </w:pPr>
            <w:r>
              <w:t>E-mail:</w:t>
            </w:r>
          </w:p>
        </w:tc>
        <w:tc>
          <w:tcPr>
            <w:tcW w:w="3682" w:type="dxa"/>
            <w:shd w:val="clear" w:color="auto" w:fill="auto"/>
            <w:vAlign w:val="bottom"/>
          </w:tcPr>
          <w:p w14:paraId="5D6351EC" w14:textId="77777777" w:rsidR="006C1535" w:rsidRDefault="006C1535" w:rsidP="006258B0">
            <w:pPr>
              <w:pStyle w:val="Style12"/>
              <w:spacing w:after="0"/>
            </w:pPr>
            <w:r>
              <w:t>.......................................................</w:t>
            </w:r>
          </w:p>
        </w:tc>
      </w:tr>
      <w:tr w:rsidR="006C1535" w14:paraId="55E14E8B" w14:textId="77777777" w:rsidTr="006258B0">
        <w:trPr>
          <w:trHeight w:hRule="exact" w:val="245"/>
        </w:trPr>
        <w:tc>
          <w:tcPr>
            <w:tcW w:w="2069" w:type="dxa"/>
            <w:shd w:val="clear" w:color="auto" w:fill="auto"/>
          </w:tcPr>
          <w:p w14:paraId="39B50046" w14:textId="77777777" w:rsidR="006C1535" w:rsidRDefault="006C1535" w:rsidP="006258B0">
            <w:pPr>
              <w:pStyle w:val="Style12"/>
              <w:spacing w:after="0"/>
            </w:pPr>
            <w:r>
              <w:t>(ďalej len „Dodávateľ“</w:t>
            </w:r>
          </w:p>
        </w:tc>
        <w:tc>
          <w:tcPr>
            <w:tcW w:w="3682" w:type="dxa"/>
            <w:shd w:val="clear" w:color="auto" w:fill="auto"/>
          </w:tcPr>
          <w:p w14:paraId="6FD83E77" w14:textId="77777777" w:rsidR="006C1535" w:rsidRDefault="006C1535" w:rsidP="006258B0">
            <w:pPr>
              <w:pStyle w:val="Style12"/>
              <w:spacing w:after="0"/>
            </w:pPr>
            <w:r>
              <w:t>)</w:t>
            </w:r>
          </w:p>
        </w:tc>
      </w:tr>
    </w:tbl>
    <w:p w14:paraId="3F8F1951" w14:textId="77777777" w:rsidR="006C1535" w:rsidRDefault="006C1535" w:rsidP="006C1535">
      <w:pPr>
        <w:spacing w:after="219" w:line="1" w:lineRule="exact"/>
      </w:pPr>
    </w:p>
    <w:p w14:paraId="6FCB04B3" w14:textId="77777777" w:rsidR="006C1535" w:rsidRDefault="006C1535" w:rsidP="006C1535">
      <w:pPr>
        <w:pStyle w:val="Style7"/>
        <w:spacing w:after="0"/>
        <w:jc w:val="center"/>
      </w:pPr>
      <w:r>
        <w:rPr>
          <w:b/>
          <w:bCs/>
        </w:rPr>
        <w:t>ČI. II</w:t>
      </w:r>
    </w:p>
    <w:p w14:paraId="5A8043C8" w14:textId="77777777" w:rsidR="006C1535" w:rsidRDefault="006C1535" w:rsidP="006C1535">
      <w:pPr>
        <w:pStyle w:val="Style4"/>
        <w:keepNext/>
        <w:keepLines/>
      </w:pPr>
      <w:bookmarkStart w:id="3" w:name="bookmark6"/>
      <w:r>
        <w:t>Predmet zmluvy</w:t>
      </w:r>
      <w:bookmarkEnd w:id="3"/>
    </w:p>
    <w:p w14:paraId="05B53A22" w14:textId="7A32DB80" w:rsidR="006C1535" w:rsidRDefault="006C1535" w:rsidP="006C1535">
      <w:pPr>
        <w:pStyle w:val="Style7"/>
        <w:ind w:left="284" w:hanging="284"/>
        <w:jc w:val="both"/>
      </w:pPr>
      <w:r>
        <w:t xml:space="preserve">2.1 Dodávateľ sa zaväzuje </w:t>
      </w:r>
      <w:bookmarkStart w:id="4" w:name="_Hlk63930528"/>
      <w:r>
        <w:t xml:space="preserve">vysýpať malé smetné koše </w:t>
      </w:r>
      <w:r w:rsidRPr="00D76881">
        <w:t xml:space="preserve">3x do týždňa, doplniť </w:t>
      </w:r>
      <w:proofErr w:type="spellStart"/>
      <w:r w:rsidRPr="00D76881">
        <w:t>sáčky</w:t>
      </w:r>
      <w:proofErr w:type="spellEnd"/>
      <w:r w:rsidRPr="00D76881">
        <w:t xml:space="preserve"> na psie </w:t>
      </w:r>
      <w:proofErr w:type="spellStart"/>
      <w:r w:rsidRPr="00D76881">
        <w:t>exkrementy</w:t>
      </w:r>
      <w:proofErr w:type="spellEnd"/>
      <w:r w:rsidR="00C046E3" w:rsidRPr="00D76881">
        <w:t xml:space="preserve"> dodané objednávateľom 1x za týždeň, resp. podľa potreby</w:t>
      </w:r>
      <w:r w:rsidRPr="00D76881">
        <w:t xml:space="preserve"> a zabezpečiť čistotu v okolí smetných košov </w:t>
      </w:r>
      <w:r>
        <w:t>v Mestskej časti Bratislava - Podunajské Biskupice na základe tejto zmluvy v rozsahu a časovej následnosti určenej v Návrhu na plnenie kritérií, ako výsledku úspešného výberového konania.</w:t>
      </w:r>
    </w:p>
    <w:bookmarkEnd w:id="4"/>
    <w:p w14:paraId="1483E21A" w14:textId="77777777" w:rsidR="006C1535" w:rsidRDefault="006C1535" w:rsidP="006C1535">
      <w:pPr>
        <w:pStyle w:val="Style7"/>
      </w:pPr>
      <w:r>
        <w:t>2.2 Objednávateľ prevezme práce do 24 hodín od ich vykonania.</w:t>
      </w:r>
    </w:p>
    <w:p w14:paraId="2285B851" w14:textId="77777777" w:rsidR="006C1535" w:rsidRDefault="006C1535" w:rsidP="006C1535">
      <w:pPr>
        <w:pStyle w:val="Style7"/>
        <w:spacing w:after="0"/>
      </w:pPr>
    </w:p>
    <w:p w14:paraId="7EFCD017" w14:textId="77777777" w:rsidR="006C1535" w:rsidRDefault="006C1535" w:rsidP="006C1535">
      <w:pPr>
        <w:pStyle w:val="Style4"/>
        <w:keepNext/>
        <w:keepLines/>
      </w:pPr>
      <w:bookmarkStart w:id="5" w:name="bookmark8"/>
      <w:r>
        <w:t xml:space="preserve">ČI. </w:t>
      </w:r>
      <w:r>
        <w:rPr>
          <w:lang w:val="en-US" w:bidi="en-US"/>
        </w:rPr>
        <w:t>Ill</w:t>
      </w:r>
      <w:r>
        <w:rPr>
          <w:lang w:val="en-US" w:bidi="en-US"/>
        </w:rPr>
        <w:br/>
      </w:r>
      <w:r>
        <w:t>Čas plnenia</w:t>
      </w:r>
      <w:bookmarkEnd w:id="5"/>
    </w:p>
    <w:p w14:paraId="43C80C4C" w14:textId="77777777" w:rsidR="006C1535" w:rsidRDefault="006C1535" w:rsidP="006C1535">
      <w:pPr>
        <w:pStyle w:val="Style7"/>
        <w:ind w:left="440" w:hanging="440"/>
      </w:pPr>
      <w:r>
        <w:t xml:space="preserve">3.1 Táto zmluva sa uzatvára </w:t>
      </w:r>
      <w:r>
        <w:rPr>
          <w:b/>
          <w:bCs/>
        </w:rPr>
        <w:t xml:space="preserve">na dobu určitú od 01.03.2021 - 28.02.2022 </w:t>
      </w:r>
      <w:r>
        <w:t>po nadobudnutí účinnosti tejto zmluvy.</w:t>
      </w:r>
    </w:p>
    <w:p w14:paraId="6C8CA8E2" w14:textId="77777777" w:rsidR="006C1535" w:rsidRDefault="006C1535" w:rsidP="006C1535">
      <w:pPr>
        <w:pStyle w:val="Style7"/>
        <w:spacing w:after="0"/>
        <w:jc w:val="center"/>
      </w:pPr>
      <w:r>
        <w:rPr>
          <w:b/>
          <w:bCs/>
        </w:rPr>
        <w:t>ČI. IV</w:t>
      </w:r>
    </w:p>
    <w:p w14:paraId="6B37C7CE" w14:textId="77777777" w:rsidR="006C1535" w:rsidRDefault="006C1535" w:rsidP="006C1535">
      <w:pPr>
        <w:pStyle w:val="Style4"/>
        <w:keepNext/>
        <w:keepLines/>
      </w:pPr>
      <w:bookmarkStart w:id="6" w:name="bookmark10"/>
      <w:r>
        <w:t>Práva a povinnosti zmluvných strán</w:t>
      </w:r>
      <w:bookmarkEnd w:id="6"/>
    </w:p>
    <w:p w14:paraId="55F924A4" w14:textId="77777777" w:rsidR="006C1535" w:rsidRDefault="006C1535" w:rsidP="006C1535">
      <w:pPr>
        <w:pStyle w:val="Style7"/>
        <w:numPr>
          <w:ilvl w:val="1"/>
          <w:numId w:val="1"/>
        </w:numPr>
        <w:tabs>
          <w:tab w:val="left" w:pos="449"/>
        </w:tabs>
        <w:ind w:left="440" w:hanging="440"/>
      </w:pPr>
      <w:r>
        <w:t xml:space="preserve">Dodávateľ obdrží </w:t>
      </w:r>
      <w:bookmarkStart w:id="7" w:name="_Hlk63930703"/>
      <w:r>
        <w:t xml:space="preserve">zoznam umiestnenia - osadenia smetných košov, ako podklad pre vykonávanie </w:t>
      </w:r>
      <w:r>
        <w:lastRenderedPageBreak/>
        <w:t>dohodnutých prác</w:t>
      </w:r>
      <w:bookmarkEnd w:id="7"/>
      <w:r>
        <w:t>. Akékoľvek zmeny v umiestnení - osadení smetných košov je objednávateľ povinný bezodkladne ohlásiť zhotoviteľovi. Zoznam so súpisom miest osadenie malých smetných košov tvorí neoddeliteľnú súčasť tejto zmluvy.</w:t>
      </w:r>
    </w:p>
    <w:p w14:paraId="51FF9CB1" w14:textId="77777777" w:rsidR="006C1535" w:rsidRDefault="006C1535" w:rsidP="006C1535">
      <w:pPr>
        <w:pStyle w:val="Style7"/>
        <w:numPr>
          <w:ilvl w:val="1"/>
          <w:numId w:val="1"/>
        </w:numPr>
        <w:tabs>
          <w:tab w:val="left" w:pos="442"/>
        </w:tabs>
        <w:ind w:left="420" w:hanging="420"/>
        <w:jc w:val="both"/>
      </w:pPr>
      <w:r>
        <w:t>Dodávateľ preberá zodpovednosť za všetky škody, ku ktorým dôjde pri plnení predmetu zmluvy. Vzniknutú škodu je zhotoviteľ povinný odstrániť do 24 hodín od jej vzniku na vlastné náklady.</w:t>
      </w:r>
    </w:p>
    <w:p w14:paraId="562B0878" w14:textId="77777777" w:rsidR="006C1535" w:rsidRDefault="006C1535" w:rsidP="006C1535">
      <w:pPr>
        <w:pStyle w:val="Style7"/>
        <w:numPr>
          <w:ilvl w:val="1"/>
          <w:numId w:val="1"/>
        </w:numPr>
        <w:tabs>
          <w:tab w:val="left" w:pos="442"/>
        </w:tabs>
        <w:ind w:left="420" w:hanging="420"/>
        <w:jc w:val="both"/>
      </w:pPr>
      <w:r>
        <w:t>Dodávateľ sa zaväzuje zhodnocovať odpad v súlade so zákonom č. 79/2015 Z. z. o odpadoch v znení platných predpisov.</w:t>
      </w:r>
    </w:p>
    <w:p w14:paraId="4BF0B916" w14:textId="77777777" w:rsidR="006C1535" w:rsidRDefault="006C1535" w:rsidP="006C1535">
      <w:pPr>
        <w:pStyle w:val="Style7"/>
        <w:numPr>
          <w:ilvl w:val="1"/>
          <w:numId w:val="1"/>
        </w:numPr>
        <w:tabs>
          <w:tab w:val="left" w:pos="442"/>
        </w:tabs>
        <w:ind w:left="420" w:hanging="420"/>
        <w:jc w:val="both"/>
      </w:pPr>
      <w:r>
        <w:t>Dodávateľ sa zaväzuje dodržiavať VZN Hl. mesta SR Bratislavy č. 6/2020 o nakladaní s komunálnym odpadom a drobnými stavebnými odpadmi na území Hl. mesta SR Bratislavy a splniť podmienky stanovené v §3, bod 3.</w:t>
      </w:r>
    </w:p>
    <w:p w14:paraId="6CF9647F" w14:textId="77777777" w:rsidR="006C1535" w:rsidRDefault="006C1535" w:rsidP="006C1535">
      <w:pPr>
        <w:pStyle w:val="Style7"/>
        <w:numPr>
          <w:ilvl w:val="1"/>
          <w:numId w:val="1"/>
        </w:numPr>
        <w:tabs>
          <w:tab w:val="left" w:pos="442"/>
        </w:tabs>
        <w:ind w:left="420" w:hanging="420"/>
        <w:jc w:val="both"/>
      </w:pPr>
      <w:r>
        <w:t>Za každé porušenia povinností vyplývajúcich zo zmluvy za nedodržanie termínu vykonania prác, za porušenie metodiky prác (vysypanie smetného koša a vyčistenie okolia smetného koša od odpadkov, poškodenie trávnatých plôch a verejnej zelene),alebo za škodu spôsobenú z nedbanlivosti pri vykonávaní prác, je Dodávateľ povinný zaplatiť Objednávateľovi zmluvnú pokutu vo výške 300,- € do 14 dní od jej uloženia.</w:t>
      </w:r>
    </w:p>
    <w:p w14:paraId="36913E5E" w14:textId="77777777" w:rsidR="006C1535" w:rsidRDefault="006C1535" w:rsidP="006C1535">
      <w:pPr>
        <w:pStyle w:val="Style7"/>
        <w:numPr>
          <w:ilvl w:val="1"/>
          <w:numId w:val="1"/>
        </w:numPr>
        <w:tabs>
          <w:tab w:val="left" w:pos="442"/>
        </w:tabs>
        <w:ind w:left="420" w:hanging="420"/>
        <w:jc w:val="both"/>
      </w:pPr>
      <w:r>
        <w:t>Dodávateľ bude zbavený povinnosti zaplatiť pokutu iba v prípade ak porušenie povinností vyplývajúcich zo zmluvy bolo zapríčinené nepriaznivými klimatickými podmienkami. O tejto skutočnosti musí byť spísaný záznam v denníku.</w:t>
      </w:r>
    </w:p>
    <w:p w14:paraId="7D127B14" w14:textId="77777777" w:rsidR="006C1535" w:rsidRDefault="006C1535" w:rsidP="006C1535">
      <w:pPr>
        <w:pStyle w:val="Style7"/>
        <w:tabs>
          <w:tab w:val="left" w:pos="442"/>
        </w:tabs>
        <w:ind w:left="420"/>
        <w:jc w:val="both"/>
      </w:pPr>
    </w:p>
    <w:p w14:paraId="4908B3CA" w14:textId="77777777" w:rsidR="006C1535" w:rsidRDefault="006C1535" w:rsidP="006C1535">
      <w:pPr>
        <w:pStyle w:val="Style7"/>
        <w:spacing w:after="0"/>
        <w:jc w:val="center"/>
      </w:pPr>
      <w:r>
        <w:rPr>
          <w:b/>
          <w:bCs/>
        </w:rPr>
        <w:t>ČI. V</w:t>
      </w:r>
    </w:p>
    <w:p w14:paraId="6DE61A3B" w14:textId="77777777" w:rsidR="006C1535" w:rsidRDefault="006C1535" w:rsidP="006C1535">
      <w:pPr>
        <w:pStyle w:val="Style4"/>
        <w:keepNext/>
        <w:keepLines/>
      </w:pPr>
      <w:bookmarkStart w:id="8" w:name="bookmark12"/>
      <w:r>
        <w:t>Cena a platobné podmienky</w:t>
      </w:r>
      <w:bookmarkEnd w:id="8"/>
    </w:p>
    <w:p w14:paraId="2F893F13" w14:textId="77777777" w:rsidR="006C1535" w:rsidRDefault="006C1535" w:rsidP="006C1535">
      <w:pPr>
        <w:pStyle w:val="Style7"/>
        <w:numPr>
          <w:ilvl w:val="1"/>
          <w:numId w:val="2"/>
        </w:numPr>
        <w:tabs>
          <w:tab w:val="left" w:pos="442"/>
        </w:tabs>
        <w:spacing w:after="0"/>
        <w:ind w:left="420" w:hanging="420"/>
        <w:jc w:val="both"/>
      </w:pPr>
      <w:r>
        <w:t>Cena služieb je stanovená v zmysle výsledkov výberového konania v Návrhu na plnenie kritérií, ktorý tvorí neoddeliteľnú súčasť tejto Zmluvy v prílohe č. 1..</w:t>
      </w:r>
    </w:p>
    <w:p w14:paraId="3F457646" w14:textId="77777777" w:rsidR="006C1535" w:rsidRDefault="006C1535" w:rsidP="006C1535">
      <w:pPr>
        <w:pStyle w:val="Style7"/>
        <w:tabs>
          <w:tab w:val="left" w:pos="442"/>
        </w:tabs>
        <w:spacing w:after="0"/>
        <w:jc w:val="both"/>
      </w:pPr>
    </w:p>
    <w:p w14:paraId="66D72203" w14:textId="77777777" w:rsidR="006C1535" w:rsidRDefault="006C1535" w:rsidP="006C1535">
      <w:pPr>
        <w:pStyle w:val="Style7"/>
        <w:numPr>
          <w:ilvl w:val="1"/>
          <w:numId w:val="2"/>
        </w:numPr>
        <w:tabs>
          <w:tab w:val="left" w:pos="442"/>
        </w:tabs>
        <w:spacing w:after="0"/>
        <w:ind w:left="420" w:hanging="420"/>
        <w:jc w:val="both"/>
      </w:pPr>
      <w:r>
        <w:t>Platba za vykonané služby súvisiace s vysypaním malých smetných nádob sa bude uskutočňovať na základe faktúr, vystavených Dodávateľom. Vykonané služby budú vyfakturované po ich fyzickom a písomnom prevzatí objednávateľom, na základe protokolu o prevzatí vykonaných prác, podpísaného Dodávateľom a oprávneným pracovníkom Objednávateľa. Preberací protokol a </w:t>
      </w:r>
      <w:r w:rsidRPr="00E96AA7">
        <w:rPr>
          <w:color w:val="000000" w:themeColor="text1"/>
        </w:rPr>
        <w:t xml:space="preserve">doklad preukazujúci zneškodnenie, resp. zhodnotenie odpadu (vážne lístky) </w:t>
      </w:r>
      <w:r>
        <w:t>budú tvoriť prílohu faktúry.</w:t>
      </w:r>
    </w:p>
    <w:p w14:paraId="6640AAF9" w14:textId="77777777" w:rsidR="006C1535" w:rsidRDefault="006C1535" w:rsidP="006C1535">
      <w:pPr>
        <w:pStyle w:val="Style7"/>
        <w:numPr>
          <w:ilvl w:val="1"/>
          <w:numId w:val="2"/>
        </w:numPr>
        <w:tabs>
          <w:tab w:val="left" w:pos="442"/>
        </w:tabs>
        <w:spacing w:after="0"/>
      </w:pPr>
      <w:r>
        <w:t>Splatnosť faktúry je 30 dní od jej doručenia Dodávateľom Objednávateľovi.</w:t>
      </w:r>
    </w:p>
    <w:p w14:paraId="59EC0326" w14:textId="77777777" w:rsidR="006C1535" w:rsidRDefault="006C1535" w:rsidP="006C1535">
      <w:pPr>
        <w:pStyle w:val="Style7"/>
        <w:tabs>
          <w:tab w:val="left" w:pos="442"/>
        </w:tabs>
        <w:spacing w:after="0"/>
      </w:pPr>
    </w:p>
    <w:p w14:paraId="4E41A9D6" w14:textId="77777777" w:rsidR="006C1535" w:rsidRDefault="006C1535" w:rsidP="006C1535">
      <w:pPr>
        <w:pStyle w:val="Style7"/>
        <w:tabs>
          <w:tab w:val="left" w:pos="442"/>
        </w:tabs>
        <w:spacing w:after="0"/>
      </w:pPr>
    </w:p>
    <w:p w14:paraId="481D5933" w14:textId="77777777" w:rsidR="006C1535" w:rsidRDefault="006C1535" w:rsidP="006C1535">
      <w:pPr>
        <w:pStyle w:val="Style7"/>
        <w:spacing w:after="0"/>
        <w:jc w:val="center"/>
      </w:pPr>
      <w:r>
        <w:rPr>
          <w:b/>
          <w:bCs/>
        </w:rPr>
        <w:t>ČI. VI</w:t>
      </w:r>
    </w:p>
    <w:p w14:paraId="28F3C6EE" w14:textId="77777777" w:rsidR="006C1535" w:rsidRDefault="006C1535" w:rsidP="006C1535">
      <w:pPr>
        <w:pStyle w:val="Style4"/>
        <w:keepNext/>
        <w:keepLines/>
      </w:pPr>
      <w:bookmarkStart w:id="9" w:name="bookmark14"/>
      <w:r>
        <w:t>Sankcie a pokuty</w:t>
      </w:r>
      <w:bookmarkEnd w:id="9"/>
    </w:p>
    <w:p w14:paraId="2B23644A" w14:textId="77777777" w:rsidR="006C1535" w:rsidRDefault="006C1535" w:rsidP="006C1535">
      <w:pPr>
        <w:pStyle w:val="Style7"/>
        <w:spacing w:after="0"/>
        <w:ind w:left="420" w:hanging="420"/>
        <w:jc w:val="both"/>
      </w:pPr>
      <w:r>
        <w:t>6.1 Dodávateľ sa zaväzuje čestne a svedomito vykonávať činnosti tvoriace predmet tejto zmluvy. V prípade zistenia nedostatkov (nevysypanie smetného koša, odpadky v okolí smetného koša, poškodenie trávnatých plôch a verejnej zelene) ohlási túto skutočnosť Objednávateľ emailom Dodávateľovi. Ak Dodávateľ neodstráni zistené nedostatky do 12 hodín od ohlásenia Objednávateľom, ako aj za nedodržanie zmluvných ustanovení, zaplatí zmluvnú pokutu vo výške uvedenej v ČI. IV bod 4.3 tejto zmluvy.</w:t>
      </w:r>
    </w:p>
    <w:p w14:paraId="07CB3DD5" w14:textId="77777777" w:rsidR="006C1535" w:rsidRDefault="006C1535" w:rsidP="006C1535">
      <w:pPr>
        <w:pStyle w:val="Style7"/>
        <w:ind w:left="420" w:hanging="420"/>
      </w:pPr>
      <w:r>
        <w:t>6.2 Dodávateľ nesie zodpovednosť za všetky škody, ktoré vzniknú z dôvodu vykonávania predmetnej služby.</w:t>
      </w:r>
    </w:p>
    <w:p w14:paraId="1B0FCAC8" w14:textId="77777777" w:rsidR="006C1535" w:rsidRDefault="006C1535" w:rsidP="006C1535">
      <w:pPr>
        <w:pStyle w:val="Style7"/>
        <w:spacing w:after="0"/>
        <w:jc w:val="center"/>
      </w:pPr>
      <w:r>
        <w:rPr>
          <w:b/>
          <w:bCs/>
        </w:rPr>
        <w:t>ČI. VII</w:t>
      </w:r>
    </w:p>
    <w:p w14:paraId="47E30930" w14:textId="77777777" w:rsidR="006C1535" w:rsidRDefault="006C1535" w:rsidP="006C1535">
      <w:pPr>
        <w:pStyle w:val="Style4"/>
        <w:keepNext/>
        <w:keepLines/>
      </w:pPr>
      <w:bookmarkStart w:id="10" w:name="bookmark16"/>
      <w:r>
        <w:t>Skončenie zmluvného vzťahu</w:t>
      </w:r>
      <w:bookmarkEnd w:id="10"/>
    </w:p>
    <w:p w14:paraId="6BE4488E" w14:textId="77777777" w:rsidR="006C1535" w:rsidRDefault="006C1535" w:rsidP="006C1535">
      <w:pPr>
        <w:pStyle w:val="Style7"/>
        <w:numPr>
          <w:ilvl w:val="1"/>
          <w:numId w:val="3"/>
        </w:numPr>
        <w:tabs>
          <w:tab w:val="left" w:pos="442"/>
        </w:tabs>
        <w:spacing w:after="0"/>
      </w:pPr>
      <w:r>
        <w:t>Zmluvné strany sa dohodli, že tento zmluvný vzťah zaniká:</w:t>
      </w:r>
    </w:p>
    <w:p w14:paraId="2FC072C9" w14:textId="77777777" w:rsidR="006C1535" w:rsidRDefault="006C1535" w:rsidP="006C1535">
      <w:pPr>
        <w:pStyle w:val="Style7"/>
        <w:numPr>
          <w:ilvl w:val="0"/>
          <w:numId w:val="4"/>
        </w:numPr>
        <w:tabs>
          <w:tab w:val="left" w:pos="596"/>
        </w:tabs>
        <w:spacing w:after="0"/>
        <w:ind w:firstLine="426"/>
      </w:pPr>
      <w:r>
        <w:t>Písomnou dohodou medzi zmluvnými stranami</w:t>
      </w:r>
    </w:p>
    <w:p w14:paraId="050064F6" w14:textId="77777777" w:rsidR="006C1535" w:rsidRDefault="006C1535" w:rsidP="006C1535">
      <w:pPr>
        <w:pStyle w:val="Style7"/>
        <w:numPr>
          <w:ilvl w:val="0"/>
          <w:numId w:val="4"/>
        </w:numPr>
        <w:tabs>
          <w:tab w:val="left" w:pos="586"/>
        </w:tabs>
        <w:spacing w:after="0"/>
        <w:ind w:left="560" w:hanging="134"/>
        <w:jc w:val="both"/>
      </w:pPr>
      <w:r>
        <w:t xml:space="preserve">Odstúpením od zmluvy v prípade, ak ktorákoľvek zo zmluvných strán nedodrží alebo poruší niektoré z ustanovení tejto zmluvy. Od zmluvy možno odstúpiť v lehote jedného mesiaca od zistenia skutočností oprávňujúcich na odstúpenie od zmluvy. Objednávateľ je oprávnený zadať </w:t>
      </w:r>
      <w:r>
        <w:lastRenderedPageBreak/>
        <w:t>práce inému Dodávateľovi okamžite od odstúpenia od zmluvy,</w:t>
      </w:r>
    </w:p>
    <w:p w14:paraId="7B2DDFF8" w14:textId="77777777" w:rsidR="006C1535" w:rsidRDefault="006C1535" w:rsidP="006C1535">
      <w:pPr>
        <w:pStyle w:val="Style7"/>
        <w:numPr>
          <w:ilvl w:val="0"/>
          <w:numId w:val="4"/>
        </w:numPr>
        <w:tabs>
          <w:tab w:val="left" w:pos="586"/>
        </w:tabs>
        <w:spacing w:after="0"/>
        <w:ind w:left="426"/>
      </w:pPr>
      <w:r>
        <w:t>Písomnou výpoveďou aj bez uvedenia dôvodu v jednomesačnej výpovednej lehote,</w:t>
      </w:r>
    </w:p>
    <w:p w14:paraId="29F62C8C" w14:textId="77777777" w:rsidR="006C1535" w:rsidRDefault="006C1535" w:rsidP="006C1535">
      <w:pPr>
        <w:pStyle w:val="Style7"/>
        <w:numPr>
          <w:ilvl w:val="0"/>
          <w:numId w:val="4"/>
        </w:numPr>
        <w:tabs>
          <w:tab w:val="left" w:pos="618"/>
        </w:tabs>
        <w:spacing w:after="0"/>
        <w:ind w:firstLine="426"/>
        <w:jc w:val="both"/>
      </w:pPr>
      <w:r>
        <w:t>Uplynutím doby, na ktorú sa táto zmluva uzatvára.</w:t>
      </w:r>
    </w:p>
    <w:p w14:paraId="6417CFA6" w14:textId="77777777" w:rsidR="006C1535" w:rsidRDefault="006C1535" w:rsidP="006C1535">
      <w:pPr>
        <w:pStyle w:val="Style7"/>
        <w:numPr>
          <w:ilvl w:val="1"/>
          <w:numId w:val="3"/>
        </w:numPr>
        <w:tabs>
          <w:tab w:val="left" w:pos="401"/>
        </w:tabs>
        <w:ind w:left="440" w:hanging="440"/>
        <w:jc w:val="both"/>
      </w:pPr>
      <w:r>
        <w:t>Výpoveď musí byť písomná a výpovedná doba začína plynúť prvým dňom nasledujúceho mesiaca po doručení výpovede druhej zmluvnej strane. Výpoveď sa považuje za doručenú dňom jej prevzatia, dňom odmietnutia jej prevzatia alebo dňom vrátenia doporučenej zásielky druhej zmluvnej strane, aj keď sa adresát o tom nedozvedel.</w:t>
      </w:r>
    </w:p>
    <w:p w14:paraId="0085F684" w14:textId="77777777" w:rsidR="006C1535" w:rsidRDefault="006C1535" w:rsidP="006C1535">
      <w:pPr>
        <w:pStyle w:val="Style7"/>
        <w:numPr>
          <w:ilvl w:val="1"/>
          <w:numId w:val="3"/>
        </w:numPr>
        <w:tabs>
          <w:tab w:val="left" w:pos="401"/>
        </w:tabs>
        <w:ind w:left="440" w:hanging="440"/>
        <w:jc w:val="both"/>
      </w:pPr>
      <w:r>
        <w:t>Odstúpenie od zmluvy je účinné dňom jeho písomného doručenia druhej zmluvnej strane, dňom odmietnutia jeho prevzatia alebo dňom vrátenia doporučenej zásielky druhej zmluvnej strane, aj keď sa adresát o tom nedozvedel.</w:t>
      </w:r>
    </w:p>
    <w:p w14:paraId="2E4EC5F3" w14:textId="77777777" w:rsidR="006C1535" w:rsidRDefault="006C1535" w:rsidP="006C1535">
      <w:pPr>
        <w:pStyle w:val="Style7"/>
        <w:numPr>
          <w:ilvl w:val="1"/>
          <w:numId w:val="3"/>
        </w:numPr>
        <w:tabs>
          <w:tab w:val="left" w:pos="401"/>
        </w:tabs>
        <w:ind w:left="440" w:hanging="440"/>
        <w:jc w:val="both"/>
      </w:pPr>
      <w:r>
        <w:t>Odstúpenie od zmluvy skončenie zmluvného vzťahu výpoveďou nevylučuje možnosť uplatnenia si práva na náhradu preukázanej škody, ktorá vznikla nesplnením záväzku jednou zo zmluvných strán.</w:t>
      </w:r>
    </w:p>
    <w:p w14:paraId="1F0CC443" w14:textId="77777777" w:rsidR="006C1535" w:rsidRDefault="006C1535" w:rsidP="006C1535">
      <w:pPr>
        <w:pStyle w:val="Style7"/>
        <w:tabs>
          <w:tab w:val="left" w:pos="401"/>
        </w:tabs>
        <w:spacing w:after="0"/>
        <w:ind w:left="442"/>
        <w:jc w:val="both"/>
      </w:pPr>
    </w:p>
    <w:p w14:paraId="47D1FA2C" w14:textId="77777777" w:rsidR="006C1535" w:rsidRDefault="006C1535" w:rsidP="006C1535">
      <w:pPr>
        <w:pStyle w:val="Style4"/>
        <w:keepNext/>
        <w:keepLines/>
      </w:pPr>
      <w:bookmarkStart w:id="11" w:name="bookmark18"/>
      <w:r>
        <w:t>ČI. VIII</w:t>
      </w:r>
      <w:r>
        <w:br/>
        <w:t>Záverečné ustanovenia</w:t>
      </w:r>
      <w:bookmarkEnd w:id="11"/>
    </w:p>
    <w:p w14:paraId="5D77322D" w14:textId="77777777" w:rsidR="006C1535" w:rsidRDefault="006C1535" w:rsidP="006C1535">
      <w:pPr>
        <w:pStyle w:val="Style7"/>
        <w:numPr>
          <w:ilvl w:val="1"/>
          <w:numId w:val="5"/>
        </w:numPr>
        <w:tabs>
          <w:tab w:val="left" w:pos="401"/>
        </w:tabs>
        <w:ind w:left="440" w:hanging="440"/>
        <w:jc w:val="both"/>
      </w:pPr>
      <w:r>
        <w:t>Zmeny a doplnenia tejto zmluvy je možné realizovať len formou písomných dodatkov, podpísaných oboma zmluvnými stranami. Na vzťahy neupravené touto zmluvou sa vzťahujú príslušné ustanovenia zákona č. 513/1991 Zb. Obchodný zákonník</w:t>
      </w:r>
    </w:p>
    <w:p w14:paraId="40CCD5BE" w14:textId="77777777" w:rsidR="006C1535" w:rsidRDefault="006C1535" w:rsidP="006C1535">
      <w:pPr>
        <w:pStyle w:val="Style7"/>
        <w:numPr>
          <w:ilvl w:val="1"/>
          <w:numId w:val="5"/>
        </w:numPr>
        <w:tabs>
          <w:tab w:val="left" w:pos="401"/>
        </w:tabs>
        <w:ind w:left="440" w:hanging="440"/>
        <w:jc w:val="both"/>
      </w:pPr>
      <w:r>
        <w:t>Zmluva sa vyhotovuje v piatich rovnopisoch, pričom Objednávateľ obdrží tri rovnopisy a dva rovnopisy Dodávateľ.</w:t>
      </w:r>
    </w:p>
    <w:p w14:paraId="0D30BB5C" w14:textId="77777777" w:rsidR="006C1535" w:rsidRDefault="006C1535" w:rsidP="006C1535">
      <w:pPr>
        <w:pStyle w:val="Style7"/>
        <w:numPr>
          <w:ilvl w:val="1"/>
          <w:numId w:val="5"/>
        </w:numPr>
        <w:tabs>
          <w:tab w:val="left" w:pos="401"/>
        </w:tabs>
        <w:spacing w:after="680"/>
        <w:ind w:left="440" w:hanging="440"/>
        <w:jc w:val="both"/>
      </w:pPr>
      <w:r>
        <w:t>Zmluva nadobúda platnosť po podpise oboch zmluvných strán a účinnosť nasledujúci deň, po dni zverejnenia tejto zmluvy.</w:t>
      </w:r>
    </w:p>
    <w:p w14:paraId="21906A07" w14:textId="77777777" w:rsidR="006C1535" w:rsidRDefault="006C1535" w:rsidP="006C1535">
      <w:pPr>
        <w:pStyle w:val="Style7"/>
        <w:spacing w:after="0"/>
        <w:jc w:val="both"/>
      </w:pPr>
    </w:p>
    <w:p w14:paraId="3C404B76" w14:textId="77777777" w:rsidR="006C1535" w:rsidRDefault="006C1535" w:rsidP="006C1535">
      <w:pPr>
        <w:pStyle w:val="Style7"/>
        <w:spacing w:after="0"/>
        <w:jc w:val="both"/>
      </w:pPr>
    </w:p>
    <w:p w14:paraId="099BBB32" w14:textId="77777777" w:rsidR="006C1535" w:rsidRDefault="006C1535" w:rsidP="006C1535">
      <w:pPr>
        <w:pStyle w:val="Style7"/>
        <w:spacing w:after="0"/>
        <w:jc w:val="both"/>
      </w:pPr>
    </w:p>
    <w:p w14:paraId="36693206" w14:textId="77777777" w:rsidR="006C1535" w:rsidRDefault="006C1535" w:rsidP="006C1535">
      <w:pPr>
        <w:pStyle w:val="Style7"/>
        <w:spacing w:after="0"/>
        <w:jc w:val="both"/>
      </w:pPr>
      <w:r>
        <w:t>Dňa ...........................................</w:t>
      </w:r>
      <w:r>
        <w:tab/>
      </w:r>
      <w:r>
        <w:tab/>
      </w:r>
      <w:r>
        <w:tab/>
      </w:r>
      <w:r>
        <w:tab/>
        <w:t>Dňa .................................................</w:t>
      </w:r>
    </w:p>
    <w:p w14:paraId="7CB0E73E" w14:textId="77777777" w:rsidR="006C1535" w:rsidRDefault="006C1535" w:rsidP="006C1535">
      <w:pPr>
        <w:pStyle w:val="Style7"/>
        <w:spacing w:after="0"/>
        <w:jc w:val="both"/>
      </w:pPr>
    </w:p>
    <w:p w14:paraId="29A43846" w14:textId="77777777" w:rsidR="006C1535" w:rsidRDefault="006C1535" w:rsidP="006C1535">
      <w:pPr>
        <w:pStyle w:val="Style7"/>
        <w:spacing w:after="0"/>
        <w:jc w:val="both"/>
      </w:pPr>
    </w:p>
    <w:p w14:paraId="1C0FADEC" w14:textId="77777777" w:rsidR="006C1535" w:rsidRDefault="006C1535" w:rsidP="006C1535">
      <w:pPr>
        <w:pStyle w:val="Style7"/>
        <w:spacing w:after="0"/>
        <w:jc w:val="both"/>
      </w:pPr>
    </w:p>
    <w:p w14:paraId="208FFE11" w14:textId="77777777" w:rsidR="006C1535" w:rsidRDefault="006C1535" w:rsidP="006C1535">
      <w:pPr>
        <w:pStyle w:val="Style7"/>
        <w:spacing w:after="0"/>
        <w:jc w:val="both"/>
      </w:pPr>
      <w:r>
        <w:t>Objednávateľ:</w:t>
      </w:r>
      <w:r>
        <w:tab/>
      </w:r>
      <w:r>
        <w:tab/>
      </w:r>
      <w:r>
        <w:tab/>
      </w:r>
      <w:r>
        <w:tab/>
      </w:r>
      <w:r>
        <w:tab/>
      </w:r>
      <w:r>
        <w:tab/>
        <w:t>Dodávateľ:</w:t>
      </w:r>
    </w:p>
    <w:p w14:paraId="4F12A904" w14:textId="77777777" w:rsidR="006C1535" w:rsidRDefault="006C1535" w:rsidP="006C1535">
      <w:pPr>
        <w:pStyle w:val="Style7"/>
        <w:spacing w:after="0"/>
        <w:jc w:val="both"/>
      </w:pPr>
      <w:r>
        <w:t xml:space="preserve">Mgr. Zoltán </w:t>
      </w:r>
      <w:proofErr w:type="spellStart"/>
      <w:r>
        <w:t>Pék</w:t>
      </w:r>
      <w:proofErr w:type="spellEnd"/>
      <w:r>
        <w:t>, starosta</w:t>
      </w:r>
    </w:p>
    <w:p w14:paraId="19EAEC4D" w14:textId="77777777" w:rsidR="006C1535" w:rsidRDefault="006C1535" w:rsidP="006C1535">
      <w:pPr>
        <w:pStyle w:val="Style7"/>
        <w:spacing w:after="0"/>
        <w:jc w:val="both"/>
      </w:pPr>
    </w:p>
    <w:p w14:paraId="64780463" w14:textId="77777777" w:rsidR="006C1535" w:rsidRDefault="006C1535" w:rsidP="006C1535">
      <w:pPr>
        <w:pStyle w:val="Style7"/>
        <w:spacing w:after="0"/>
        <w:jc w:val="both"/>
      </w:pPr>
    </w:p>
    <w:p w14:paraId="6B4D2F91" w14:textId="77777777" w:rsidR="006C1535" w:rsidRDefault="006C1535" w:rsidP="006C1535">
      <w:pPr>
        <w:pStyle w:val="Style7"/>
        <w:spacing w:after="0"/>
        <w:jc w:val="both"/>
      </w:pPr>
    </w:p>
    <w:p w14:paraId="0B26B335" w14:textId="77777777" w:rsidR="006C1535" w:rsidRDefault="006C1535" w:rsidP="006C1535">
      <w:pPr>
        <w:pStyle w:val="Style7"/>
        <w:spacing w:after="0"/>
        <w:jc w:val="both"/>
      </w:pPr>
    </w:p>
    <w:p w14:paraId="66B5B086" w14:textId="77777777" w:rsidR="006C1535" w:rsidRDefault="006C1535" w:rsidP="006C1535">
      <w:pPr>
        <w:pStyle w:val="Style7"/>
        <w:spacing w:after="0"/>
        <w:jc w:val="both"/>
      </w:pPr>
      <w:r>
        <w:t>....................................................</w:t>
      </w:r>
      <w:r>
        <w:tab/>
      </w:r>
      <w:r>
        <w:tab/>
      </w:r>
      <w:r>
        <w:tab/>
        <w:t>....................................................</w:t>
      </w:r>
    </w:p>
    <w:p w14:paraId="6341EE54" w14:textId="77777777" w:rsidR="006C1535" w:rsidRDefault="006C1535" w:rsidP="006C1535">
      <w:pPr>
        <w:pStyle w:val="Style7"/>
        <w:spacing w:after="0"/>
        <w:jc w:val="both"/>
      </w:pPr>
    </w:p>
    <w:p w14:paraId="7360EAB3" w14:textId="77777777" w:rsidR="006C1535" w:rsidRDefault="006C1535" w:rsidP="006C1535">
      <w:pPr>
        <w:pStyle w:val="Style7"/>
        <w:spacing w:after="0"/>
        <w:jc w:val="both"/>
      </w:pPr>
    </w:p>
    <w:p w14:paraId="6818BB3A" w14:textId="77777777" w:rsidR="006C1535" w:rsidRDefault="006C1535" w:rsidP="006C1535">
      <w:pPr>
        <w:pStyle w:val="Style7"/>
        <w:spacing w:after="0"/>
        <w:jc w:val="both"/>
      </w:pPr>
    </w:p>
    <w:p w14:paraId="17D396FC" w14:textId="77777777" w:rsidR="006C1535" w:rsidRDefault="006C1535" w:rsidP="006C1535">
      <w:pPr>
        <w:pStyle w:val="Style7"/>
        <w:spacing w:after="0"/>
        <w:jc w:val="both"/>
      </w:pPr>
      <w:r>
        <w:t>Príloha:</w:t>
      </w:r>
    </w:p>
    <w:p w14:paraId="2B53FF24" w14:textId="77777777" w:rsidR="006C1535" w:rsidRDefault="006C1535" w:rsidP="006C1535">
      <w:pPr>
        <w:pStyle w:val="Style7"/>
        <w:spacing w:after="0"/>
        <w:jc w:val="both"/>
      </w:pPr>
      <w:r>
        <w:t>Návrh na plnenie kritérií</w:t>
      </w:r>
    </w:p>
    <w:p w14:paraId="48582075" w14:textId="77777777" w:rsidR="0053750F" w:rsidRDefault="0053750F"/>
    <w:sectPr w:rsidR="0053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E4968"/>
    <w:multiLevelType w:val="multilevel"/>
    <w:tmpl w:val="DDBC39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07468F"/>
    <w:multiLevelType w:val="multilevel"/>
    <w:tmpl w:val="5E903478"/>
    <w:lvl w:ilvl="0">
      <w:start w:val="8"/>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91588F"/>
    <w:multiLevelType w:val="multilevel"/>
    <w:tmpl w:val="6C0A5D4C"/>
    <w:lvl w:ilvl="0">
      <w:start w:val="5"/>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A25AD3"/>
    <w:multiLevelType w:val="multilevel"/>
    <w:tmpl w:val="2B163AF8"/>
    <w:lvl w:ilvl="0">
      <w:start w:val="7"/>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982C79"/>
    <w:multiLevelType w:val="multilevel"/>
    <w:tmpl w:val="B162ABD0"/>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35"/>
    <w:rsid w:val="0053750F"/>
    <w:rsid w:val="006C1535"/>
    <w:rsid w:val="00C046E3"/>
    <w:rsid w:val="00D76881"/>
    <w:rsid w:val="00E96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E830"/>
  <w15:chartTrackingRefBased/>
  <w15:docId w15:val="{64FBC70D-7189-4B5C-B741-19FC3AF2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1535"/>
    <w:pPr>
      <w:widowControl w:val="0"/>
      <w:spacing w:after="0" w:line="240" w:lineRule="auto"/>
    </w:pPr>
    <w:rPr>
      <w:rFonts w:ascii="Times New Roman" w:eastAsia="Times New Roman" w:hAnsi="Times New Roman" w:cs="Times New Roman"/>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basedOn w:val="Predvolenpsmoodseku"/>
    <w:link w:val="Style2"/>
    <w:rsid w:val="006C1535"/>
    <w:rPr>
      <w:rFonts w:ascii="Arial" w:eastAsia="Arial" w:hAnsi="Arial" w:cs="Arial"/>
      <w:b/>
      <w:bCs/>
      <w:sz w:val="28"/>
      <w:szCs w:val="28"/>
    </w:rPr>
  </w:style>
  <w:style w:type="character" w:customStyle="1" w:styleId="CharStyle5">
    <w:name w:val="Char Style 5"/>
    <w:basedOn w:val="Predvolenpsmoodseku"/>
    <w:link w:val="Style4"/>
    <w:rsid w:val="006C1535"/>
    <w:rPr>
      <w:rFonts w:ascii="Arial" w:eastAsia="Arial" w:hAnsi="Arial" w:cs="Arial"/>
      <w:b/>
      <w:bCs/>
      <w:sz w:val="20"/>
      <w:szCs w:val="20"/>
    </w:rPr>
  </w:style>
  <w:style w:type="character" w:customStyle="1" w:styleId="CharStyle8">
    <w:name w:val="Char Style 8"/>
    <w:basedOn w:val="Predvolenpsmoodseku"/>
    <w:link w:val="Style7"/>
    <w:rsid w:val="006C1535"/>
    <w:rPr>
      <w:rFonts w:ascii="Arial" w:eastAsia="Arial" w:hAnsi="Arial" w:cs="Arial"/>
      <w:sz w:val="20"/>
      <w:szCs w:val="20"/>
    </w:rPr>
  </w:style>
  <w:style w:type="character" w:customStyle="1" w:styleId="CharStyle10">
    <w:name w:val="Char Style 10"/>
    <w:basedOn w:val="Predvolenpsmoodseku"/>
    <w:link w:val="Style9"/>
    <w:rsid w:val="006C1535"/>
    <w:rPr>
      <w:rFonts w:ascii="Arial" w:eastAsia="Arial" w:hAnsi="Arial" w:cs="Arial"/>
      <w:sz w:val="20"/>
      <w:szCs w:val="20"/>
    </w:rPr>
  </w:style>
  <w:style w:type="character" w:customStyle="1" w:styleId="CharStyle13">
    <w:name w:val="Char Style 13"/>
    <w:basedOn w:val="Predvolenpsmoodseku"/>
    <w:link w:val="Style12"/>
    <w:rsid w:val="006C1535"/>
    <w:rPr>
      <w:rFonts w:ascii="Arial" w:eastAsia="Arial" w:hAnsi="Arial" w:cs="Arial"/>
      <w:sz w:val="20"/>
      <w:szCs w:val="20"/>
    </w:rPr>
  </w:style>
  <w:style w:type="paragraph" w:customStyle="1" w:styleId="Style2">
    <w:name w:val="Style 2"/>
    <w:basedOn w:val="Normlny"/>
    <w:link w:val="CharStyle3"/>
    <w:rsid w:val="006C1535"/>
    <w:pPr>
      <w:spacing w:after="220"/>
      <w:jc w:val="center"/>
      <w:outlineLvl w:val="1"/>
    </w:pPr>
    <w:rPr>
      <w:rFonts w:ascii="Arial" w:eastAsia="Arial" w:hAnsi="Arial" w:cs="Arial"/>
      <w:b/>
      <w:bCs/>
      <w:color w:val="auto"/>
      <w:sz w:val="28"/>
      <w:szCs w:val="28"/>
      <w:lang w:eastAsia="en-US" w:bidi="ar-SA"/>
    </w:rPr>
  </w:style>
  <w:style w:type="paragraph" w:customStyle="1" w:styleId="Style4">
    <w:name w:val="Style 4"/>
    <w:basedOn w:val="Normlny"/>
    <w:link w:val="CharStyle5"/>
    <w:rsid w:val="006C1535"/>
    <w:pPr>
      <w:spacing w:after="220"/>
      <w:jc w:val="center"/>
      <w:outlineLvl w:val="2"/>
    </w:pPr>
    <w:rPr>
      <w:rFonts w:ascii="Arial" w:eastAsia="Arial" w:hAnsi="Arial" w:cs="Arial"/>
      <w:b/>
      <w:bCs/>
      <w:color w:val="auto"/>
      <w:sz w:val="20"/>
      <w:szCs w:val="20"/>
      <w:lang w:eastAsia="en-US" w:bidi="ar-SA"/>
    </w:rPr>
  </w:style>
  <w:style w:type="paragraph" w:customStyle="1" w:styleId="Style7">
    <w:name w:val="Style 7"/>
    <w:basedOn w:val="Normlny"/>
    <w:link w:val="CharStyle8"/>
    <w:rsid w:val="006C1535"/>
    <w:pPr>
      <w:spacing w:after="220"/>
    </w:pPr>
    <w:rPr>
      <w:rFonts w:ascii="Arial" w:eastAsia="Arial" w:hAnsi="Arial" w:cs="Arial"/>
      <w:color w:val="auto"/>
      <w:sz w:val="20"/>
      <w:szCs w:val="20"/>
      <w:lang w:eastAsia="en-US" w:bidi="ar-SA"/>
    </w:rPr>
  </w:style>
  <w:style w:type="paragraph" w:customStyle="1" w:styleId="Style9">
    <w:name w:val="Style 9"/>
    <w:basedOn w:val="Normlny"/>
    <w:link w:val="CharStyle10"/>
    <w:rsid w:val="006C1535"/>
    <w:rPr>
      <w:rFonts w:ascii="Arial" w:eastAsia="Arial" w:hAnsi="Arial" w:cs="Arial"/>
      <w:color w:val="auto"/>
      <w:sz w:val="20"/>
      <w:szCs w:val="20"/>
      <w:lang w:eastAsia="en-US" w:bidi="ar-SA"/>
    </w:rPr>
  </w:style>
  <w:style w:type="paragraph" w:customStyle="1" w:styleId="Style12">
    <w:name w:val="Style 12"/>
    <w:basedOn w:val="Normlny"/>
    <w:link w:val="CharStyle13"/>
    <w:rsid w:val="006C1535"/>
    <w:pPr>
      <w:spacing w:after="220"/>
    </w:pPr>
    <w:rPr>
      <w:rFonts w:ascii="Arial" w:eastAsia="Arial" w:hAnsi="Arial" w:cs="Arial"/>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Jankovská Darina</dc:creator>
  <cp:keywords/>
  <dc:description/>
  <cp:lastModifiedBy>Deáková Zuzana</cp:lastModifiedBy>
  <cp:revision>5</cp:revision>
  <dcterms:created xsi:type="dcterms:W3CDTF">2021-02-11T09:26:00Z</dcterms:created>
  <dcterms:modified xsi:type="dcterms:W3CDTF">2021-02-15T07:35:00Z</dcterms:modified>
</cp:coreProperties>
</file>